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TILLA IZSÁK</w:t>
            </w:r>
          </w:p>
          <w:p w:rsidR="00C275A3" w:rsidRDefault="00186641" w:rsidP="00C275A3">
            <w:pPr>
              <w:pStyle w:val="Hallgatokepzes"/>
            </w:pPr>
            <w:r w:rsidRPr="002361E2">
              <w:rPr>
                <w:i/>
              </w:rPr>
              <w:t>124278@student.ujs.sk</w:t>
            </w:r>
            <w:r w:rsidRPr="002361E2">
              <w:rPr>
                <w:i/>
              </w:rPr>
              <w:br/>
            </w:r>
            <w:r w:rsidR="00A96AEC">
              <w:t>Applied informatics</w:t>
            </w:r>
            <w:r w:rsidR="00A96AEC">
              <w:br/>
            </w:r>
            <w:r w:rsidR="00E77B23">
              <w:t>MA, 4.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László Marák, PhD.</w:t>
            </w:r>
          </w:p>
          <w:p w:rsidR="00DB4822" w:rsidRDefault="00DB4822" w:rsidP="009763E0">
            <w:pPr>
              <w:pStyle w:val="Konzulensektitulus"/>
            </w:pPr>
            <w:r w:rsidRPr="00DB4822">
              <w:t>adjunkt, SK SJE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Cryptocurrency prediction with SVM machine learning algorithm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 the significant boom in cryptocurrency trading on digital blockchain platforms, the use of machine learning systems has gained further popularity. Intelligent machine learning systems offer a number of advantages in modelling and predicting large data sets and their use is becoming increasingly common in cryptocurrency trading. The aim of this research is to design and implement a predictive model that can predict cryptocurrency exchange rate changes with sufficient accuracy and profitability. The three main problems to be solved are the selection of an appropriate trading strategy, the selection of the best features for prediction, and the selection of optimal parameters for the learning algorithm. In this research we detail the solutions we have chosen and the results of the resulting prediction models.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139344">
    <w:multiLevelType w:val="hybridMultilevel"/>
    <w:lvl w:ilvl="0" w:tplc="904454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139344">
    <w:abstractNumId w:val="521393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97336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