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SZAPPAN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szappanbogi@gmail.com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Fogyatékossággal élő személyek párkapcsolatai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is előfordul, hogy a fogyatékossággal élő személyek párkapcsolati törekvéseit kevésbé tolerálja a társadalom. Ez a terület hazánkban kevésbé kutatottnak minősül. Empirikus kutatás során, több témakörön keresztül vizsgáltam a fogyatékossággal élő személyek párkapcsolatait (vizsgálati csoport) és hasonlítottam össze tipikusan fejlődő személyek (kontroll csoport) párkapcsolataival. Feltételeztem, hogy</w:t>
      </w:r>
      <w:r>
        <w:rPr>
          <w:color w:val="000000"/>
          <w:sz w:val="24"/>
          <w:szCs w:val="24"/>
        </w:rPr>
        <w:br/>
        <w:t xml:space="preserve">1) a párkapcsolati elégedettség vonatkozásában nincs számottevő különbség (kevesebb, mint 10%) a fogyatékossággal élő személyek párkapcsolatai, illetve a tipikusan fejlődő személyek partnerkapcsolatai között;</w:t>
      </w:r>
      <w:r>
        <w:rPr>
          <w:color w:val="000000"/>
          <w:sz w:val="24"/>
          <w:szCs w:val="24"/>
        </w:rPr>
        <w:br/>
        <w:t xml:space="preserve">2) a fogyatékossággal élő személyek párkapcsolatainak nagyobb hányadában (több, mint 60%) a konfliktusok többsége nem a fogyatékosságból adódik;</w:t>
      </w:r>
      <w:r>
        <w:rPr>
          <w:color w:val="000000"/>
          <w:sz w:val="24"/>
          <w:szCs w:val="24"/>
        </w:rPr>
        <w:br/>
        <w:t xml:space="preserve">3) a párkapcsolat hosszú távú működésének szempontjából a fogyatékossággal élő személyek és partnereik, illetve a kontroll csoport válaszadói a különböző feltételeket közel azonos arányban (kevesebb, mint 15% a különbség) tartják fontosnak.</w:t>
      </w:r>
      <w:r>
        <w:rPr>
          <w:color w:val="000000"/>
          <w:sz w:val="24"/>
          <w:szCs w:val="24"/>
        </w:rPr>
        <w:br/>
        <w:t xml:space="preserve">Hipotéziseim igazolására elektronikus formában kitölthető kérdőívet alkalmaztam; két kérdéssort hoztam létre (vizsgálati csoport/kontroll csoport). A párkapcsolati elégedettség mérésére a Hendrix (1988) által kidolgozott Kapcsolati Elégedettség Skálát (Relationship Assessment Scale) használtam. A kutatásban összesen 154 fő vett részt. Az eredmények tematizálva kerültek feldolgozásra, így egészen az ismerkedéstől kezdve mutatom be a fogyatékossággal élő személyek párkapcsolati sajátosságait. A kutatás során hipotéziseim beigazolódtak.</w:t>
      </w:r>
      <w:r>
        <w:rPr>
          <w:color w:val="000000"/>
          <w:sz w:val="24"/>
          <w:szCs w:val="24"/>
        </w:rPr>
        <w:br/>
        <w:t xml:space="preserve">A fentieken kívül megállapítottam, hogy fogyatékossággal élő személyek párkapcsolataiban elsősorban kommunikációs problémákból adódó nézeteltérések fordulnak elő; hogy a vizsgálati csoport és a kontroll csoport tagjait is ugyanaz a tényező (partner iránt érzett szerelem) tartja legnagyobb arányban jelenlegi párkapcsolatában. Megállapítottam, hogy a fogyatékossággal élő személyek, a válaszok alapján, nagymértékben képesek párkapcsolaton belül az önálló életvitelre, teljes értékű párkapcsolat létesítésére. Elégedettség szempontjából a legnagyobb különbség szexualitás területén mutatkozott meg a vizsgált csoportok között.</w:t>
      </w:r>
      <w:r>
        <w:rPr>
          <w:color w:val="000000"/>
          <w:sz w:val="24"/>
          <w:szCs w:val="24"/>
        </w:rPr>
        <w:br/>
        <w:t xml:space="preserve">Kutatásom célja rávilágítani arra, hogy a harmonikus partnerkapcsolat iránti igény és ennek gyakorlati megvalósításának lehetősége fogyatékossággal élő embertársaink életében éppúgy jelen van, mint a tipikus fejlődésű személyek esetén. Dolgozatom végén, kutatásom tükrében javaslatokat fogalmaztam meg, a téma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68640">
    <w:multiLevelType w:val="hybridMultilevel"/>
    <w:lvl w:ilvl="0" w:tplc="44193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68640">
    <w:abstractNumId w:val="16068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752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