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BÉKÉSI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bekesi.csaba17@gmail.com</w:t>
            </w:r>
            <w:r w:rsidRPr="002361E2">
              <w:rPr>
                <w:i/>
              </w:rPr>
              <w:br/>
            </w:r>
            <w:r w:rsidR="00A96AEC">
              <w:t>Hidrobiológus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Sándor Alex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Boda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Ökológiai Kutatóközpont, Vízi Ökológiai Intézet, Tisza-kutató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kiszáradás hosszának hatása a kisvízfolyások makroszkopikus vízi gerinctelen közösségeire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klímaváltozás miatt a szélsőséges környezeti hatások egyre gyakoribbá válhatnak, melynek eredményeképpen a felszíni vizekben villámáradások, vagy éppen a kiszáradásuk figyelhető meg. A hazai vízügyi gyakorlatban a vízfolyásokat vízhozamuk és vízállásuk alapján állandó, közel állandó, időszakos (kiszáradó) kategóriákba lehet besorolni. A felszíni vizek, így a kiszáradó vízfolyások ökológiai állapotának meghatározása történhet az ott élő makroszkopikus vízi gerinctelen közösségek vizsgálatával, mivel igen gyorsan képesek reagálni és életciklusuk is elég hosszú.</w:t>
      </w:r>
      <w:r>
        <w:rPr>
          <w:color w:val="000000"/>
          <w:sz w:val="24"/>
          <w:szCs w:val="24"/>
        </w:rPr>
        <w:br/>
        <w:t xml:space="preserve">Kutatásunkban azt vizsgáltuk, hogy a kiszáradási periódus hossza hogyan befolyásolja a víztér makroszkopikus vízi gerinctelen közösségét, illetve a kiszáradás utáni első vizes fázisban visszatérő közösség fajkészletét, abundancia viszonyait és közösségszerkezetét. Ezért kiválasztottunk 4 alföldi vízfolyást, melyekből EU VKI mennyiségi mintavételi módszerekkel vett mintákból határoztuk meg a vízi makroszkopikus gerinctelen egyedeket. A kiszáradás hossza szerint 4 kategóriát (0. = állandó, 1. = egyszer- , 2. = kétszer- , 3. = háromszor kiszáradó) állítottunk fel, melyeknek vizsgáltuk a fajszámát, taxonszámát, egyedszámát, standard egyedszámát. A kategóriákat statisztikai módszerekkel, metrikákkal össze is hasonlítottuk.</w:t>
      </w:r>
      <w:r>
        <w:rPr>
          <w:color w:val="000000"/>
          <w:sz w:val="24"/>
          <w:szCs w:val="24"/>
        </w:rPr>
        <w:br/>
        <w:t xml:space="preserve">Eredményeinkben az időszakos kategóriák között nincsen számottevő eltérés a fajszámok és az egyedszámok arányában. A kiszáradás utáni első vizes fázisban a standard egyedszám lecsökken az időszakos kategóriákban, de nagy különbség itt sem tapasztalható közöttük (0. = 1653; 1. = 675; 2. = 613; 3. = 623). Taxonszámok esetében is hasonló figyelhető meg, viszont itt a 3. kategória értéke nagyobb, mint a 2. kategóriáé (0. = 35; 1. = 25; 2. = 10; 3. = 20).</w:t>
      </w:r>
      <w:r>
        <w:rPr>
          <w:color w:val="000000"/>
          <w:sz w:val="24"/>
          <w:szCs w:val="24"/>
        </w:rPr>
        <w:br/>
        <w:t xml:space="preserve">Az értékek alakulásának egyik magyarázata lehet, hogy a mintavételi időszakok között általunk nem detektált vizes fázisok alakulhattak ki. Természetesen emellett még például a lokális eltérés, a szezonalitás és az éves diszperziós aktivitás is lehet befolyásoló tényező.</w:t>
      </w:r>
      <w:r>
        <w:rPr>
          <w:color w:val="000000"/>
          <w:sz w:val="24"/>
          <w:szCs w:val="24"/>
        </w:rPr>
        <w:br/>
        <w:t xml:space="preserve">A vizsgálatunkkal többet tudtunk meg a rövid- és közepestávú kiszáradások hatásairól, mely azért fontos, mert az előrejelzések alapján először az ilyen típusú kiszáradások fognak terhelésként jelentkezni a vízfolyások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36102">
    <w:multiLevelType w:val="hybridMultilevel"/>
    <w:lvl w:ilvl="0" w:tplc="48653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36102">
    <w:abstractNumId w:val="430361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752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