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KOVÁCS FANNI ORSOLYA</w:t>
            </w:r>
          </w:p>
          <w:p w:rsidR="00C275A3" w:rsidRDefault="00186641" w:rsidP="00C275A3">
            <w:pPr>
              <w:pStyle w:val="Hallgatokepzes"/>
            </w:pPr>
            <w:r w:rsidRPr="002361E2">
              <w:rPr>
                <w:i/>
              </w:rPr>
              <w:t>fanni.kovacs.orsolya@gmail.com</w:t>
            </w:r>
            <w:r w:rsidRPr="002361E2">
              <w:rPr>
                <w:i/>
              </w:rPr>
              <w:br/>
            </w:r>
            <w:r w:rsidR="00A96AEC">
              <w:t>Anglisztika</w:t>
            </w:r>
            <w:r w:rsidR="00A96AEC">
              <w:br/>
            </w:r>
            <w:r w:rsidR="00E77B23">
              <w:t>BA, 5.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Hegyi Pál</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irodalmi apafigura kötelékeitől a szerzői hang megtalálásáig: Paul Auster drámáinak elemzése Samuel Beckett örökségén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Keywords: the anxiety of influence, absurd, Beckettian theatre</w:t>
      </w:r>
    </w:p>
    <w:p>
      <w:pPr>
        <w:widowControl w:val="on"/>
        <w:pBdr/>
        <w:spacing w:before="240" w:after="240" w:line="240" w:lineRule="auto"/>
        <w:ind w:left="0" w:right="0"/>
        <w:jc w:val="left"/>
      </w:pPr>
      <w:r>
        <w:rPr>
          <w:color w:val="000000"/>
          <w:sz w:val="24"/>
          <w:szCs w:val="24"/>
        </w:rPr>
        <w:t xml:space="preserve">The internationally acclaimed novelist, Paul Auster, started his career in 1974 as a poet, playwright, and literary translator. During his early years, Auster produced three plays: Laurel and Hardy Go to Heaven (1976/77), Blackouts (1976), and Hide and Seek (1976). These plays, however, are still little known to the general audience as well as to literary criticism. The plays exhibit close alikeness to the drama of Samuel Beckett, who admittedly “had a tremendous hold over” Auster (Red Notebook 105). According to Julie Campbell “Beckett holds an important place in Auster’s development as a writer, and this is especially true in the early stages” (“Legacy” 325), and insists on the importance of this relation as an ostentatious and undeniable influence of “Beckett as a literary father” (“Creativity of Misreading” 299) on Auster’s unique poetics.</w:t>
      </w:r>
      <w:r>
        <w:rPr>
          <w:color w:val="000000"/>
          <w:sz w:val="24"/>
          <w:szCs w:val="24"/>
        </w:rPr>
        <w:br/>
        <w:t xml:space="preserve">The research aims to reflect on the unique position, on the peculiar, sui generis nature that the plays occupy in the author’s oeuvre, and to highlight their significance by unfolding the arc of Auster’s creative progress and maturation. The paper intends to illustrate how Auster adapted Beckett’s texts into his writings, overturned the anxiety of influence, and discovered his own authorial voice in comparative analyses based on Harold Bloom’s theory of poetic influence.</w:t>
      </w:r>
      <w:r>
        <w:rPr>
          <w:color w:val="000000"/>
          <w:sz w:val="24"/>
          <w:szCs w:val="24"/>
        </w:rPr>
        <w:br/>
        <w:t xml:space="preserve">Laurel and Hardy go to Heaven serves as an excellent example of Auster’s ability to write Beckett-like plays: I argue that Auster adapts elements that are characteristic to Beckett’s drama; while he departs from the fundamental tenets of the absurd. Simultaneously, the play anticipates the main ideas (chance, aleatory) of The Music of Chance. Hide and Seek bears a clear resemblance to Happy Days, Endgame, and Play. The two figures, Man and Woman, are akin to the married couples Winnie and Willie, or Nagg and Nell; they appear almost as the younger versions of the Beckettian pairs. Meanwhile, the engagement of language philosophical ideas reflects the author’s tendencies, in Wittgensteinian terms, to create his “private language” (96). Blackouts is a different impulse which shows little similarity to the Beckettian drama; although displays the framework of the novel Ghosts. The play itself is in flux, resembling the precursor’s work less and less. The play and the novel can be considered as a link which maintains a connection with the author’s early prose.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25549">
    <w:multiLevelType w:val="hybridMultilevel"/>
    <w:lvl w:ilvl="0" w:tplc="15517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25549">
    <w:abstractNumId w:val="295255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17904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