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JEDLÓCZKI IVETT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j.ivett524@gmail.com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Homolya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1-C-szubsztituált glikálok hidroxiazidálási reakcióinak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szénhidrátkémia; addíció; aminocukrok; azidocukrok; optimalizálás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aminocukrok számos biológiailag aktív természetes és mesterséges vegyület alkotóelemeit képezik, fontos komponensei a szerkezeti poliszacharidoknak és a membránok glikoszfingolipidjeinek, továbbá részt vesznek a kitin, a hilauronsav, a heparin és a vércsoportokat meghatározó oligoszacharidok felépítésében is [1-3].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előállítani kívánt azidocukrok nem csupán az aminocukrok prekurzorai lehetnek, hanem számos más továbbalakítási lehetőséget is rejtenek magukban. Így a szintetikus szerves kémiában fontos szerepet játszanak, mint antibiotikumok, antivirális ágensek vagy enzim inhibitorok potenciális előanyagai [1, 4-6].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hidroxiazidálás lehetőséget biztosít azido csoportot tartalmazó szénhidrátszármazékok glikálokból történő előállítására. 1-C-szubsztituált glikálokból kiindulva olyan 2-azido-2-dezoxicukrokhoz juthatunk, melyekben az anomer centrumhoz kapcsolódó szén szubsztituens jelenléte széleskörű továbbalakítási lehetőségeket rejt magában. A hidroxiazidálás a szakirodalomban csak szubsztituálatlan glikálok esetén leírt eljárás, melyet TMSN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/Bu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NHSO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/PIFA/TEMPO/H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O/DKM reagenskombináció alkalmazásával valósítottak meg többféle cukorkonfiguráció és védőcsoport esetén [4].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az 1-C-szubsztituált glikálok hidroxiazidálási reakcióit vizsgáltuk, és előállítottuk a kívánt hidroxiazid származékokat 1-C-szubsztituált galaktálokból kiindulva. A reagensek hatásának szisztematikus vizsgálatával meghatároztuk az optimális körülményeket, ezeket más szubsztrátok esetén is sikeresen alkalmaztuk. A kísérleti munkán túlmenően elvégeztük a reakciótermékek teljes szerkezetazonosítását, melyhez 1D-és 2D-NMR módszereket, MS és IR spektroszkópiai méréseket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Mirabella, S.; Cardona, F.; Goti, A. Org. Biomol. Chem. 2016, 14, 5186-5204.</w:t>
      </w:r>
      <w:r>
        <w:rPr>
          <w:color w:val="000000"/>
          <w:sz w:val="24"/>
          <w:szCs w:val="24"/>
        </w:rPr>
        <w:br/>
        <w:t xml:space="preserve">[2] Bhagavan, N.V. Medical Biochemistry (4th edition), 2002, 9, 133-151, Academic Press, ISBN 9780120954407</w:t>
      </w:r>
      <w:r>
        <w:rPr>
          <w:color w:val="000000"/>
          <w:sz w:val="24"/>
          <w:szCs w:val="24"/>
        </w:rPr>
        <w:br/>
        <w:t xml:space="preserve">[3] Amino-sugars and uronic acids, Nature, 1946, 157, 395-397</w:t>
      </w:r>
      <w:r>
        <w:rPr>
          <w:color w:val="000000"/>
          <w:sz w:val="24"/>
          <w:szCs w:val="24"/>
        </w:rPr>
        <w:br/>
        <w:t xml:space="preserve">[4] Chennaiah, A.; Vankar Y. D.; Org Lett. 2018, 20, 2611-2614</w:t>
      </w:r>
      <w:r>
        <w:rPr>
          <w:color w:val="000000"/>
          <w:sz w:val="24"/>
          <w:szCs w:val="24"/>
        </w:rPr>
        <w:br/>
        <w:t xml:space="preserve">[5] Glinka, M.; Wojnowski, W.; Wasik, A.; TrAC Trends Anal. Chem, 2020, 131, 116034</w:t>
      </w:r>
      <w:r>
        <w:rPr>
          <w:color w:val="000000"/>
          <w:sz w:val="24"/>
          <w:szCs w:val="24"/>
        </w:rPr>
        <w:br/>
        <w:t xml:space="preserve">[6] Cao, R.; He, H.; Zhang, C.; Liu, X-Y.; Quin, Y.; Tetrahedron Lett. 2021, 70, 153010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61802">
    <w:multiLevelType w:val="hybridMultilevel"/>
    <w:lvl w:ilvl="0" w:tplc="20551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61802">
    <w:abstractNumId w:val="870618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982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