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tothklaudiahun@gmail.com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Lihi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NiSOD enzimmodell: Koordinációs Kémia és Kinetika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SOD;kinetika;nikkel;egyensúly;peptid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szuperoxid dizmutázok (SOD) a szervezetben a szuperoxid gyökanion lebontásáért felelős</w:t>
      </w:r>
      <w:r>
        <w:rPr>
          <w:color w:val="000000"/>
          <w:sz w:val="24"/>
          <w:szCs w:val="24"/>
        </w:rPr>
        <w:br/>
        <w:t xml:space="preserve">enzimcsalád, amelynek egyik tagja nikkel ionokat tartalmaz. Munkánk során ezen enzim</w:t>
      </w:r>
      <w:r>
        <w:rPr>
          <w:color w:val="000000"/>
          <w:sz w:val="24"/>
          <w:szCs w:val="24"/>
        </w:rPr>
        <w:br/>
        <w:t xml:space="preserve">kisebb fragmenseit modellezük. Előadásomban egy új enzimfragmens koordinációs kémiai és</w:t>
      </w:r>
      <w:r>
        <w:rPr>
          <w:color w:val="000000"/>
          <w:sz w:val="24"/>
          <w:szCs w:val="24"/>
        </w:rPr>
        <w:br/>
        <w:t xml:space="preserve">SOD aktivitás vizsgálatát mutatom be. Eredményeink alapján a fiziológiás pH-n képződő</w:t>
      </w:r>
      <w:r>
        <w:rPr>
          <w:color w:val="000000"/>
          <w:sz w:val="24"/>
          <w:szCs w:val="24"/>
        </w:rPr>
        <w:br/>
        <w:t xml:space="preserve">komplex és a szuperoxid anion közötti reakció pillanatszerű, ennek megfelelően a vizsgált</w:t>
      </w:r>
      <w:r>
        <w:rPr>
          <w:color w:val="000000"/>
          <w:sz w:val="24"/>
          <w:szCs w:val="24"/>
        </w:rPr>
        <w:br/>
        <w:t xml:space="preserve">metallopeptid kiváló SOD aktivitással bír.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21250">
    <w:multiLevelType w:val="hybridMultilevel"/>
    <w:lvl w:ilvl="0" w:tplc="41207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21250">
    <w:abstractNumId w:val="24521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567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