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ECSÉDI BERTOLD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ecsediberti@gmail.com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Forgács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Boroszilikát-PVA hibrid aerogélek hidratációs mechanizmusának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aerogél; hidratáció; NMR; karakterizálás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aerogélek a világ legkisebb sűrűségű szilárd anyagai, amelyeket rendkívül jó fizikai és</w:t>
      </w:r>
      <w:r>
        <w:rPr>
          <w:color w:val="000000"/>
          <w:sz w:val="24"/>
          <w:szCs w:val="24"/>
        </w:rPr>
        <w:br/>
        <w:t xml:space="preserve">kémiai tulajdonságaiknak köszönhetően széleskörben kutatnak. A gyakorlatban jelenleg</w:t>
      </w:r>
      <w:r>
        <w:rPr>
          <w:color w:val="000000"/>
          <w:sz w:val="24"/>
          <w:szCs w:val="24"/>
        </w:rPr>
        <w:br/>
        <w:t xml:space="preserve">főként hőszigetelő-anyagként használják őket, de a jövőben az elektronikai iparban és a</w:t>
      </w:r>
      <w:r>
        <w:rPr>
          <w:color w:val="000000"/>
          <w:sz w:val="24"/>
          <w:szCs w:val="24"/>
        </w:rPr>
        <w:br/>
        <w:t xml:space="preserve">gyógyszertechnológiában is ígéretes új termékek alapjául szolgálhatnak. Felhasználás során</w:t>
      </w:r>
      <w:r>
        <w:rPr>
          <w:color w:val="000000"/>
          <w:sz w:val="24"/>
          <w:szCs w:val="24"/>
        </w:rPr>
        <w:br/>
        <w:t xml:space="preserve">azonban sok esetben találkozhatnak vízzel vagy vízgőzzel, ami miatt fontos ismernünk,</w:t>
      </w:r>
      <w:r>
        <w:rPr>
          <w:color w:val="000000"/>
          <w:sz w:val="24"/>
          <w:szCs w:val="24"/>
        </w:rPr>
        <w:br/>
        <w:t xml:space="preserve">hogyan viselkednek vizes közegben, illetve nedvesítés hatására.</w:t>
      </w:r>
      <w:r>
        <w:rPr>
          <w:color w:val="000000"/>
          <w:sz w:val="24"/>
          <w:szCs w:val="24"/>
        </w:rPr>
        <w:br/>
        <w:t xml:space="preserve">Munkám során két különböző szerkezetű boroszilikát – polivinil-alkohol (PVA) hibrid</w:t>
      </w:r>
      <w:r>
        <w:rPr>
          <w:color w:val="000000"/>
          <w:sz w:val="24"/>
          <w:szCs w:val="24"/>
        </w:rPr>
        <w:br/>
        <w:t xml:space="preserve">aerogél hidratációját vizsgáltam nem konvencionális folyadékfázisú NMR technikákkal</w:t>
      </w:r>
      <w:r>
        <w:rPr>
          <w:color w:val="000000"/>
          <w:sz w:val="24"/>
          <w:szCs w:val="24"/>
        </w:rPr>
        <w:br/>
        <w:t xml:space="preserve">(relaxometria és krio-porozimetria). A mérések eredményei alapján javaslatot tettem az</w:t>
      </w:r>
      <w:r>
        <w:rPr>
          <w:color w:val="000000"/>
          <w:sz w:val="24"/>
          <w:szCs w:val="24"/>
        </w:rPr>
        <w:br/>
        <w:t xml:space="preserve">aerogélek hidratációjának mechanizmusára. Az eredményeket összehasonlítva a szilika</w:t>
      </w:r>
      <w:r>
        <w:rPr>
          <w:color w:val="000000"/>
          <w:sz w:val="24"/>
          <w:szCs w:val="24"/>
        </w:rPr>
        <w:br/>
        <w:t xml:space="preserve">aerogélek esetén kapott adatokkal, kiderült, hogy a hibrid aerogélek nyitott mezopórusos</w:t>
      </w:r>
      <w:r>
        <w:rPr>
          <w:color w:val="000000"/>
          <w:sz w:val="24"/>
          <w:szCs w:val="24"/>
        </w:rPr>
        <w:br/>
        <w:t xml:space="preserve">szerkezete nem deformálódik jelentősen a hidratáció hatására. Ez a tulajdonság megmarad</w:t>
      </w:r>
      <w:r>
        <w:rPr>
          <w:color w:val="000000"/>
          <w:sz w:val="24"/>
          <w:szCs w:val="24"/>
        </w:rPr>
        <w:br/>
        <w:t xml:space="preserve">abban az esetben is, amikor a hibrid aerogéleket mikroszemcsés szervetlen anyagokkal,</w:t>
      </w:r>
      <w:r>
        <w:rPr>
          <w:color w:val="000000"/>
          <w:sz w:val="24"/>
          <w:szCs w:val="24"/>
        </w:rPr>
        <w:br/>
        <w:t xml:space="preserve">például hidroxilapatittal funkcionalizáljuk. Ilyen aerogélek esetén a nyitott pórusos szerkezet</w:t>
      </w:r>
      <w:r>
        <w:rPr>
          <w:color w:val="000000"/>
          <w:sz w:val="24"/>
          <w:szCs w:val="24"/>
        </w:rPr>
        <w:br/>
        <w:t xml:space="preserve">megőrzése fontos lehet, például csontpótló anyagok fejlesztése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54097">
    <w:multiLevelType w:val="hybridMultilevel"/>
    <w:lvl w:ilvl="0" w:tplc="90771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54097">
    <w:abstractNumId w:val="880540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212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