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ANIKÓ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aniko.andras96@gmail.com</w:t>
            </w:r>
            <w:r w:rsidRPr="002361E2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Egészség- és Szociális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Barnabás</w:t>
            </w:r>
          </w:p>
          <w:p w:rsidR="00DB4822" w:rsidRDefault="00DB4822" w:rsidP="009763E0">
            <w:pPr>
              <w:pStyle w:val="Konzulensektitulus"/>
            </w:pPr>
            <w:r w:rsidRPr="00DB4822">
              <w:t>főorvos,  Bajcsy- Zsilinszky Kórház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Olteanu Lucián Liviusz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GFE 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krónikus rhinosinusitis fenotípusok és endotípusok hatása a posztoperatív ápolási folyamatokhoz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manuális profilú osztályokon az elektív műtétek előjegyzésénél körültekintően számolnak a műtői és orvosi erőforrások időbeli alakulásával, ugyanakkor az ápolási kapacitásokat korlátlannak tekintik. Ápolói tapasztalat, hogy azonos diagnózissal azonos műtéten szövődménymentesen átesett betegek posztoperatív ápolási igényeiben is jelentős eltérések mutatkozhatnak.</w:t>
      </w:r>
      <w:r>
        <w:rPr>
          <w:color w:val="000000"/>
          <w:sz w:val="24"/>
          <w:szCs w:val="24"/>
        </w:rPr>
        <w:br/>
        <w:t xml:space="preserve">Cél: Vizsgálatunk célja egy olyan modell kidolgozása, amely alkalmas a sebészi szempontból homogén betegcsoportok eltérő ápolási igény szerinti preoperatív megelőző feltérképezésére.</w:t>
      </w:r>
      <w:r>
        <w:rPr>
          <w:color w:val="000000"/>
          <w:sz w:val="24"/>
          <w:szCs w:val="24"/>
        </w:rPr>
        <w:br/>
        <w:t xml:space="preserve">Módszer: 2022.05.01 és 2022.09.30 közötti időszakban chronicus rhinosinusitis (CRS) miatt azonos ápolást indokló fődiagnózissal (J3220), azonos endoscopos rostaműtéten (FES) (52271) átesett betegek bevonásával retrospektív vizsgálatot végeztük. Vizsgáltuk a demográfiai adatokat, a preoperatív orvosi dokumentáció alapján kiválasztott betegcsoportokban vizsgáltuk, hogy van-e eltérés a szövődménymentes esetek ápolási igényében. Az igény felmérésére az ápolási dokumentáció és az ápolók megkérdezése alapján egy értékelő modellt állítottunk fel.</w:t>
      </w:r>
      <w:r>
        <w:rPr>
          <w:color w:val="000000"/>
          <w:sz w:val="24"/>
          <w:szCs w:val="24"/>
        </w:rPr>
        <w:br/>
        <w:t xml:space="preserve">Eredmények: 72 beteg került be a vizsgálatba, 32 nő 40 férfi, kor átlag nők 44 év férfiak 45 év légúti allergiás 35 nem allergiás 37 chronicus rhinosinusutis polyposissal (CRSwNP) 32 chronicus rhinosinusitis polyposis nélkül (CRSsNP) 40 2-es típusú CRS 33 nem 2-es típusú CRS 39. A kiemelt 7 ápolási esemény megoszlása: fájdalom 46 AB adás 23 hányingerrel 27 orrvérzés 46 orrtampon 37 oxigén adása 6, beteg saját kezdeményezés 229</w:t>
      </w:r>
      <w:r>
        <w:rPr>
          <w:color w:val="000000"/>
          <w:sz w:val="24"/>
          <w:szCs w:val="24"/>
        </w:rPr>
        <w:br/>
        <w:t xml:space="preserve">Következtetés: Eredményünk igazolta, hogy a korábban homogénnek tekintett betegcsoportok ápolási igényei eltérőek lehetnek. Ezért úgy véljük, hogy jövőben a manuális osztályokon az elektív beavatkozások időrendi előjegyzésében, a műtéti kapacitások és az orvosi erőforrások mellett, figyelembe kell majd venni a beteg perioperatív ápolási szükségleteit, a tervezésbe be kell vonni az ápolási szakembereket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manuális, fődiagnózis, preoperatív, műtéti kapacitások, tervezés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90848">
    <w:multiLevelType w:val="hybridMultilevel"/>
    <w:lvl w:ilvl="0" w:tplc="24744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90848">
    <w:abstractNumId w:val="787908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6865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