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MIKLÓS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miklostoth2020@gmail.com</w:t>
            </w:r>
            <w:r w:rsidRPr="002361E2">
              <w:rPr>
                <w:i/>
              </w:rPr>
              <w:br/>
            </w:r>
            <w:r w:rsidR="00A96AEC">
              <w:t>Magyar-történelem szakos tanári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László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1405. évi városi dekrétum és a mezővárosok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1405. évi városi dekrétum és a mezővárosok</w:t>
      </w:r>
      <w:r>
        <w:rPr>
          <w:color w:val="000000"/>
          <w:sz w:val="24"/>
          <w:szCs w:val="24"/>
        </w:rPr>
        <w:br/>
        <w:t xml:space="preserve">Az április 15-én Budán a királyi városok, mezővárosok és szabad falvak (civitatum, oppidorum et liberarum villarum) követeinek részvételével tartott királyi tanácsülésen megalkotott városi dekrétumában Zsigmond a polgárság életével, jogállásával és kereskedelmével kapcsolatos főbb problémákat szabályozta. Közvetlenül a törvény becikkelyezését követően, mintegy érvényt szerezve az abban megfogalmazott elveknek Zsigmond a városokkal való együttműködése jeleként néhány mezővárosnak kiváltságlevelet adott. A privilégiumokban a király a különböző vásártartási kedvezmények mellett engedélyezte, sőt mi több, olykor sürgette is a városfal-építést, míg néhány esetben Buda város jogát adományozta a településeknek. A dekrétum kiadásakor, de még az azt követő kiváltságolások során sem dőlt el véglegesen, hogy mely településekből lesz majd a későbbiekben mezőváros, hiszen a törvényszöveg is egyöntetűen királyi városként kezelte őket, így a jogszolgáltatás során sem tesz különbséget közöttük.</w:t>
      </w:r>
      <w:r>
        <w:rPr>
          <w:color w:val="000000"/>
          <w:sz w:val="24"/>
          <w:szCs w:val="24"/>
        </w:rPr>
        <w:br/>
        <w:t xml:space="preserve">A városi dekrétum kiadását és az azt követő kiváltságolási hullámot már Mályusz Elemér is Zsigmond reformkísérleteként értékelte. A király intézkedéseivel egyfelől törekedett jövedelmei gyarapítására, amely virágzó városok esetében még jelentékenyebbé válhatott volna, másrészt az 1403-1404. évi belháború tapasztalataiból okulva a városi polgárságban szövetségest próbált találni, hatalmát stabilizálni. Az 1405. évi kiváltságolási hullám számos mezővárosnak megnyitotta az utat a várossá válás felé, azonban a kínálkozó lehetőséggel a települések többsége nem tudott élni. Ismétlődő tendenciaként figyelhető meg, hogy a magánföldesúri joghatóság alá kerülő mezővárosok számára a földesúri függés elzárja a felemelkedés útját.</w:t>
      </w:r>
      <w:r>
        <w:rPr>
          <w:color w:val="000000"/>
          <w:sz w:val="24"/>
          <w:szCs w:val="24"/>
        </w:rPr>
        <w:br/>
        <w:t xml:space="preserve">Az április 15-én becikkelyezett törvényszöveg, valamint az oklevelek szövegének összevetésével a dekrétum tárgyalásának folyamatába, kronológiai rendjébe is bepillantást nyerhetünk. A privilégiummal megadományozott mezővárosok 1405 utáni történetét is a vizsgálat tárgyává teszem, ezáltal értékelve a kiváltságlevél hatását az adott település fejlődésének történetére. 1405 kora nyarán számos oppidum Buda város jogait és kiváltságait kapta meg Zsigmondtól, ezáltal az is lehetővé vált, hogy a megadományozott mezőváros a szabad királyi városok sorába emelkedjen. Azonban ahogy majd látni fogjuk, gyakran egy jól tetsző kiváltságlevél sem tette lehetővé, hogy egy oppidum a tárnokszéki városok tagja legyen.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64650">
    <w:multiLevelType w:val="hybridMultilevel"/>
    <w:lvl w:ilvl="0" w:tplc="73272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64650">
    <w:abstractNumId w:val="42764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700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