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JORDÁN ANIKÓ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jordananiko5@gmail.com</w:t>
            </w:r>
            <w:r w:rsidRPr="002361E2">
              <w:rPr>
                <w:i/>
              </w:rPr>
              <w:br/>
            </w:r>
            <w:r w:rsidR="00A96AEC">
              <w:t>Vegyészmérnöki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Anyag-és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TOKAJI GYÖRGY MARCELL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tgym1515@gmail.com</w:t>
            </w:r>
            <w:r w:rsidRPr="002361E2">
              <w:rPr>
                <w:i/>
              </w:rPr>
              <w:br/>
            </w:r>
            <w:bookmarkEnd w:id="1"/>
            <w:r w:rsidR="00C275A3">
              <w:t>Vegyészmérnöki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Miskolci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Anyag-és Vegyészmérnöki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Szőri-Dorogházi Emma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ME AVK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Fiser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ME AVK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APPLICATION OF MICROORGANISMS IN THE BIODEGRADATION OF POLYURETHANE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poliuretán (PU) és más műanyagok fontos szerepet játszanak mindennapi életünkben. A PU</w:t>
      </w:r>
      <w:r>
        <w:rPr>
          <w:color w:val="000000"/>
          <w:sz w:val="24"/>
          <w:szCs w:val="24"/>
        </w:rPr>
        <w:br/>
        <w:t xml:space="preserve">habot sokféle termékben használják, ami a PU hulladék felhalmozódásához vezet</w:t>
      </w:r>
      <w:r>
        <w:rPr>
          <w:color w:val="000000"/>
          <w:sz w:val="24"/>
          <w:szCs w:val="24"/>
        </w:rPr>
        <w:br/>
        <w:t xml:space="preserve">környezetünkben (pl. víz, talaj). A hulladékkezelésre számos stratégia létezik, ezek közül az</w:t>
      </w:r>
      <w:r>
        <w:rPr>
          <w:color w:val="000000"/>
          <w:sz w:val="24"/>
          <w:szCs w:val="24"/>
        </w:rPr>
        <w:br/>
        <w:t xml:space="preserve">egyik a biológiai lebontás, azonban viszonylag ritkán kerül előtérbe. A biológiai lebontás</w:t>
      </w:r>
      <w:r>
        <w:rPr>
          <w:color w:val="000000"/>
          <w:sz w:val="24"/>
          <w:szCs w:val="24"/>
        </w:rPr>
        <w:br/>
        <w:t xml:space="preserve">előnye, hogy nem igényel nagy energiabefektetést, és a műanyag a folyamat során teljesen</w:t>
      </w:r>
      <w:r>
        <w:rPr>
          <w:color w:val="000000"/>
          <w:sz w:val="24"/>
          <w:szCs w:val="24"/>
        </w:rPr>
        <w:br/>
        <w:t xml:space="preserve">mineralizálódhat. Hátránya, hogy a lebomlás során potenciálisan mérgező vegyületek</w:t>
      </w:r>
      <w:r>
        <w:rPr>
          <w:color w:val="000000"/>
          <w:sz w:val="24"/>
          <w:szCs w:val="24"/>
        </w:rPr>
        <w:br/>
        <w:t xml:space="preserve">keletkezhetnek, és a polimertermék a tervezettnél korábban lebomolhat. Számos tanulmány</w:t>
      </w:r>
      <w:r>
        <w:rPr>
          <w:color w:val="000000"/>
          <w:sz w:val="24"/>
          <w:szCs w:val="24"/>
        </w:rPr>
        <w:br/>
        <w:t xml:space="preserve">vizsgálta a poliuretánok lebonthatóságát mikroorganizmusok segítségével. A</w:t>
      </w:r>
      <w:r>
        <w:rPr>
          <w:color w:val="000000"/>
          <w:sz w:val="24"/>
          <w:szCs w:val="24"/>
        </w:rPr>
        <w:br/>
        <w:t xml:space="preserve">mikroorganizmusok lebontási képessége a polimerekhez, mint energiaforráshoz való hosszabb</w:t>
      </w:r>
      <w:r>
        <w:rPr>
          <w:color w:val="000000"/>
          <w:sz w:val="24"/>
          <w:szCs w:val="24"/>
        </w:rPr>
        <w:br/>
        <w:t xml:space="preserve">ideig tartó alkalmazkodás eredménye. A poliuretán energiaforrásként való felhasználásához a</w:t>
      </w:r>
      <w:r>
        <w:rPr>
          <w:color w:val="000000"/>
          <w:sz w:val="24"/>
          <w:szCs w:val="24"/>
        </w:rPr>
        <w:br/>
        <w:t xml:space="preserve">mikroorganizmusoknak speciális enzimekre van szükségük. A szakirodalomak három fő</w:t>
      </w:r>
      <w:r>
        <w:rPr>
          <w:color w:val="000000"/>
          <w:sz w:val="24"/>
          <w:szCs w:val="24"/>
        </w:rPr>
        <w:br/>
        <w:t xml:space="preserve">enzimtípust említenek: lipáz, ureáz és észteráz, amelyek közül az utóbbinak tulajdonítják a</w:t>
      </w:r>
      <w:r>
        <w:rPr>
          <w:color w:val="000000"/>
          <w:sz w:val="24"/>
          <w:szCs w:val="24"/>
        </w:rPr>
        <w:br/>
        <w:t xml:space="preserve">főszerepet. Kutatásunkban összegyűjtjük az összes elérhető bakteriális észteráz szekvenciát, és</w:t>
      </w:r>
      <w:r>
        <w:rPr>
          <w:color w:val="000000"/>
          <w:sz w:val="24"/>
          <w:szCs w:val="24"/>
        </w:rPr>
        <w:br/>
        <w:t xml:space="preserve">a BLASTp és AliView programok segítségével meghatározzuk a köztük lévő homológiát.</w:t>
      </w:r>
      <w:r>
        <w:rPr>
          <w:color w:val="000000"/>
          <w:sz w:val="24"/>
          <w:szCs w:val="24"/>
        </w:rPr>
        <w:br/>
        <w:t xml:space="preserve">Ezután kiválasztjuk azokat, amelyek 3D szerkezettel rendelkeznek, és gazdamolekulaként</w:t>
      </w:r>
      <w:r>
        <w:rPr>
          <w:color w:val="000000"/>
          <w:sz w:val="24"/>
          <w:szCs w:val="24"/>
        </w:rPr>
        <w:br/>
        <w:t xml:space="preserve">használjuk őket a molekuláris dokkoláshoz. Az enzimszerkezeteket a szokásos protokollok</w:t>
      </w:r>
      <w:r>
        <w:rPr>
          <w:color w:val="000000"/>
          <w:sz w:val="24"/>
          <w:szCs w:val="24"/>
        </w:rPr>
        <w:br/>
        <w:t xml:space="preserve">alkalmazásával (pl. hidrogének hozzáadása) állítjuk elő. Ugyanakkor a GaussView 6.0 szoftver</w:t>
      </w:r>
      <w:r>
        <w:rPr>
          <w:color w:val="000000"/>
          <w:sz w:val="24"/>
          <w:szCs w:val="24"/>
        </w:rPr>
        <w:br/>
        <w:t xml:space="preserve">segítségével elkészítjük a modell uretánok 3D szerkezeteit, és a Gaussian 09 szoftvercsomaggal</w:t>
      </w:r>
      <w:r>
        <w:rPr>
          <w:color w:val="000000"/>
          <w:sz w:val="24"/>
          <w:szCs w:val="24"/>
        </w:rPr>
        <w:br/>
        <w:t xml:space="preserve">optimalizáljuk őket B3LYP/6-31G(d,p) elméleti szinten, és ezeket ligandumokként használjuk</w:t>
      </w:r>
      <w:r>
        <w:rPr>
          <w:color w:val="000000"/>
          <w:sz w:val="24"/>
          <w:szCs w:val="24"/>
        </w:rPr>
        <w:br/>
        <w:t xml:space="preserve">a molekuláris dokkolási számítások során. A ligandumszerkezetek optimalizálása után készen</w:t>
      </w:r>
      <w:r>
        <w:rPr>
          <w:color w:val="000000"/>
          <w:sz w:val="24"/>
          <w:szCs w:val="24"/>
        </w:rPr>
        <w:br/>
        <w:t xml:space="preserve">állnak az enzimekhez való dokkolásra. Az enzimek és a modell uretánok közötti</w:t>
      </w:r>
      <w:r>
        <w:rPr>
          <w:color w:val="000000"/>
          <w:sz w:val="24"/>
          <w:szCs w:val="24"/>
        </w:rPr>
        <w:br/>
        <w:t xml:space="preserve">kölcsönhatásokat az AutoDock Vina szoftver segítségével határozzuk meg és hasonlítjuk össze.</w:t>
      </w:r>
      <w:r>
        <w:rPr>
          <w:color w:val="000000"/>
          <w:sz w:val="24"/>
          <w:szCs w:val="24"/>
        </w:rPr>
        <w:br/>
        <w:t xml:space="preserve">A különböző ligandum-észteráz kölcsönhatásokat értékelni és számszerűsíteni fogjuk.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000603">
    <w:multiLevelType w:val="hybridMultilevel"/>
    <w:lvl w:ilvl="0" w:tplc="438927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000603">
    <w:abstractNumId w:val="220006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41773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