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ENGEL BOTOND</w:t>
            </w:r>
          </w:p>
          <w:p w:rsidR="00C275A3" w:rsidRDefault="00186641" w:rsidP="00C275A3">
            <w:pPr>
              <w:pStyle w:val="Hallgatokepzes"/>
            </w:pPr>
            <w:r w:rsidRPr="002361E2">
              <w:rPr>
                <w:i/>
              </w:rPr>
              <w:t>botienlo@gmail.com</w:t>
            </w:r>
            <w:r w:rsidRPr="002361E2">
              <w:rPr>
                <w:i/>
              </w:rPr>
              <w:br/>
            </w:r>
            <w:r w:rsidR="00A96AEC">
              <w:t>Biomérnöki szak</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Németh Eszter</w:t>
            </w:r>
          </w:p>
          <w:p w:rsidR="00DB4822" w:rsidRDefault="00DB4822" w:rsidP="009763E0">
            <w:pPr>
              <w:pStyle w:val="Konzulensektitulus"/>
            </w:pPr>
            <w:r w:rsidRPr="00DB4822">
              <w:t>tudományos munkatárs,  ELKH Természettudományi Kutatóközpont, Enzimológiai Intézet, Genomstabilitás Kutatócsoport</w:t>
            </w:r>
          </w:p>
        </w:tc>
      </w:tr>
      <w:tr w:rsidR="00DB4822" w:rsidTr="00DB4822">
        <w:tc>
          <w:tcPr>
            <w:tcW w:w="9854" w:type="dxa"/>
          </w:tcPr>
          <w:p w:rsidR="00DB4822" w:rsidRPr="00DB4822" w:rsidRDefault="00DB4822" w:rsidP="009763E0">
            <w:pPr>
              <w:pStyle w:val="Konzulenseknev"/>
            </w:pPr>
            <w:r w:rsidRPr="00DB4822">
              <w:t>Dr. Szüts Dávid</w:t>
            </w:r>
          </w:p>
          <w:p w:rsidR="00DB4822" w:rsidRDefault="00DB4822" w:rsidP="009763E0">
            <w:pPr>
              <w:pStyle w:val="Konzulensektitulus"/>
            </w:pPr>
            <w:r w:rsidRPr="00DB4822">
              <w:t>tudományos tanácsadó,  ELKH Természettudományi Kutatóközpont, Enzimológiai Intézet, Genomstabilitás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4-nitrokinolin 1-oxid mutagenikus hatásának vizsgálata sejttenyészetben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4-nitrokinolin 1-oxid (4-NQO) egy vízoldható karcinogén vegyület, a tudományos kutatásokban gyakran alkalmazott mutagén. A 4-NQO két fő módon fejti ki a mutagenikus hatását: egyrészt biotranszformáció révén kialakult metabolitja kovalens kötést képes kialakítani a DNS-sel. Ezen elváltozások fő javító útvonala a nukleotid kivágó javító mechanizmus (NER). Másrészt a felszabaduló reaktív oxigánszármazékok (ROS) reagálnak a DNS bázisaival, első sorban a guanin bázis 8-as helyzetben történő hidroxilációját okozva.</w:t>
      </w:r>
      <w:r>
        <w:rPr>
          <w:color w:val="000000"/>
          <w:sz w:val="24"/>
          <w:szCs w:val="24"/>
        </w:rPr>
        <w:br/>
        <w:t xml:space="preserve">A 4-NQO-t kezdetben UV-sugárzás mimikálására használták, később pedig dohányzás hatására kialakuló tumorokhoz hasonló tumorok kísérleti egerekben történő indukálására. Azonban humán sejtekben nem ismert a 4-NQO teljes genomra gyakorolt pontos hatása, és nem tanulmányozták a 4-NQO mutagenikus hatását a nem kódoló régiókban.</w:t>
      </w:r>
      <w:r>
        <w:rPr>
          <w:color w:val="000000"/>
          <w:sz w:val="24"/>
          <w:szCs w:val="24"/>
        </w:rPr>
        <w:br/>
        <w:t xml:space="preserve">Munkám célja a dohányzás által kiváltott mutagenezis mimikálása 4-NQO segítségével. Ehhez a Genomstabilitás Kutatócsoportban kifejlesztett kísérleti módszereket alkalmaztam. Két választott modellrendszerben, humán (TK6) és csirke (DT40) limfocita sejtvonalakon teszteltem a szer hatását. Előbbi előnye, hogy humán modell, utóbbi pedig azért előnyös, mert számos DNS javítási útvonalakban hibás genotípus is rendelkezésre áll, így szükség esetén azok is vizsgálhatóak. Az IC50 értékeket sejtéletképességi mérésekkel határoztam meg. Az izogenikus sejtvonalakat 4 héten keresztül, hetente egy dózis 4-NQO adagolásával kezeltem. A kezelt sejtpopulációkból egy sejt klónozást végeztem, és sejtvonalanként három mintából genomi DNS-t preparáltam. A szer hatására bekövetkezett mutációkat teljes genom szekvenálással határoztuk meg.</w:t>
      </w:r>
      <w:r>
        <w:rPr>
          <w:color w:val="000000"/>
          <w:sz w:val="24"/>
          <w:szCs w:val="24"/>
        </w:rPr>
        <w:br/>
        <w:t xml:space="preserve">Eredményeink alapján a DT40 és TK6 sejtek hasonlóan érzékenyek a 4-NQO-ra, ugyanakkor utóbbiakban több mutációt detektáltunk. Kontrollált biológiai kísérletben igazoltuk, hogy a 4-NQO a dohányzáshoz hasonló mutagenezist okoz, mivel a mutációs mintázat nagy mértékben hasonlít a COSMIC adatbázis humán tumorokban meghatározott 4-es számú, dohányzáshoz köthető mintázatára.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52471">
    <w:multiLevelType w:val="hybridMultilevel"/>
    <w:lvl w:ilvl="0" w:tplc="25238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52471">
    <w:abstractNumId w:val="88852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972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