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BÁCSFALVI SOMA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somabacsfalvi@gmail.com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Tribl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jogállamiság, mint a dichotóm önkény játékszere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aki követi elmúlt évek politikai és alkotmányjogi vitafórumait, az tudhatja, hogy ezeknek az egyik elsődleges területe a jogállamiság kérdése volt. Az ekörül létrejött vita paralel módon jelent meg a demokráciák recessziójával, amely folyamat megközelítőleg 2006 óta figyelhető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az egyik legszembetűnőbb példája a témámnak választott jogállamiság, illetve annak eróziója, amelynek, mint alapvető értéknek jelenleg az elhiteltelenítését, szubjektivizálását figyelhetjük meg úgy a modern demokráciákban, illetve azok alapjául jogrendszerekben. Mindez pedig összefügg egy másik problémával is, nevezetesen azzal, hogy a jogállamiság politikai témává züllesztése -legyen szó hazai, vagy akár uniós felfogásról- lehetőséget biztosít(hat) önkényes értelmezésekre, amely aláássa, illetve alááshatja a demokratikus intézményekbe vetett hitet a társadalmainkban. Ennek következtében a jogállamiság fogalma bizonyos értelmezések szerint politikai termékké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Márpedig, véleményem szerint a jogállamiság eszménye az európai, majd mára a teljes nyugati világ alkotmányos értékeinek talán egyik legjelentősebb vívmánya, egyben célja. Hiszen mi is a jogállam célja? Nem más, mint, hogy meggátolja az önkényes hatalomgyakorlást, illetve, ha valaki – birtokában akár az alkotmányozó többségnek – mégis erre az útra lépne, akkor létezzen egy olyan intézményi garanciarendszer, amely ezeknek a törekvéseknek –vagyis az önkényes hatalomgyakorlásnak- gátat tud szabni.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azt kívántam vizsgálni, hogy létezik-e olyan fogalom, amely képes egy átfogó és normatív fogalmat biztosítani a jogállamiság alapelvének. Kutatásom keretében áttekintettem a jogállamiság fejlődéstörténetét, az egyes jogállamfelfogásokat, illetve az Európai Unió által kialakított különböző eljárásokat, mechanizmusokat és rendeleteket.</w:t>
      </w:r>
      <w:r>
        <w:rPr>
          <w:color w:val="000000"/>
          <w:sz w:val="24"/>
          <w:szCs w:val="24"/>
        </w:rPr>
        <w:br/>
        <w:t xml:space="preserve">Kutatásom alapján, egyrészt helytálló az a megállapítás, miszerint EU egyes tagállamaiban a jogállamiság helyzete számos tekintetben sérült az elmúlt években, de ahogy ma már a talio elvet sem tartjuk követendőnek, úgy az uniónak sem megengedhető, hogy olyan elveket sértsen, amelyeket tagállamain éppen számon kíván kérni. Illetve, -másrészről- úgy vélem a jogtudománynak vissza kell terelnie a jogállamiságot a tudomány területére, mivel annak politikával való összemosása nem vezethet sikerre.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20382">
    <w:multiLevelType w:val="hybridMultilevel"/>
    <w:lvl w:ilvl="0" w:tplc="48128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20382">
    <w:abstractNumId w:val="19020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092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