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ALBERT MOLNAR</w:t>
            </w:r>
          </w:p>
          <w:p w:rsidR="00C275A3" w:rsidRDefault="00186641" w:rsidP="00C275A3">
            <w:pPr>
              <w:pStyle w:val="Hallgatokepzes"/>
            </w:pPr>
            <w:r w:rsidRPr="002361E2">
              <w:rPr>
                <w:i/>
              </w:rPr>
              <w:t>treblaranlom@gmail.com</w:t>
            </w:r>
            <w:r w:rsidRPr="002361E2">
              <w:rPr>
                <w:i/>
              </w:rPr>
              <w:br/>
            </w:r>
            <w:r w:rsidR="00A96AEC">
              <w:t>Business Development</w:t>
            </w:r>
            <w:r w:rsidR="00A96AEC">
              <w:br/>
            </w:r>
            <w:r w:rsidR="00E77B23">
              <w:t>MSc, 8. semester</w:t>
            </w:r>
          </w:p>
          <w:p w:rsidR="00C265CE" w:rsidRPr="009E5FF1" w:rsidRDefault="00E77B23" w:rsidP="009763E0">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Ágnes Csiszárik-Kocsir</w:t>
            </w:r>
          </w:p>
          <w:p w:rsidR="00DB4822" w:rsidRDefault="00DB4822" w:rsidP="009763E0">
            <w:pPr>
              <w:pStyle w:val="Konzulensektitulus"/>
            </w:pPr>
            <w:r w:rsidRPr="00DB4822">
              <w:t>Associate Professor, Head of Department, Vice-Dean for Research,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Gazdasági válságok előrejelzése Magyarországon a Markov-féle regressziós modell segítségével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br/>
        <w:t xml:space="preserve">The growing imbalances in national accounts and capital markets are yet again pointing to an increased probability of a particularly severe recession in the Hungarian economy sparking debate among economists and policymakers alike if the leading indicators specified within the early warning system (EWS) framework are any good in predicting recessions. This paper applies the hidden Markov switching dynamic regression (MSDR) model to estimate the transition probabilities of the Hungarian GDP between recessionary and expansionary periods. The transition probabilities are then compared to the OECD Hungarian binary business cycle indicator to assess the predictive power of the model. Following the general version of the Markov switching model as in Hamilton (1989) the transition probabilities remain constant over time. The paper proposes a linear model with a mean and a homoscedastic component. The level of symmetry between the GDP and business cycles is explained by the panel data variables (Unemployment rate, IPI index, Inflation, BUX year-on-year change, and 10-3 Year sovereign bond yield spreads).</w:t>
      </w:r>
    </w:p>
    <w:p>
      <w:pPr>
        <w:widowControl w:val="on"/>
        <w:pBdr/>
        <w:spacing w:before="240" w:after="240" w:line="240" w:lineRule="auto"/>
        <w:ind w:left="0" w:right="0"/>
        <w:jc w:val="left"/>
      </w:pPr>
      <w:r>
        <w:rPr>
          <w:color w:val="000000"/>
          <w:sz w:val="24"/>
          <w:szCs w:val="24"/>
        </w:rPr>
        <w:t xml:space="preserve">Because capital markets have the ability to price in economic downturn possibilities into the value of an asset, it has been decided to include the BUX and the bond spreads. It is assumed in this paper that by extending the model to encompass an exogenous variable listed in the panel data, essentially making the model bivariate, the maximum likelihood function would capture the business cycle more accurately. Furthermore, to see if the exogenous variables are capable of predicting recessions, we lagged them by one quarter to see if the model output is more consistent with the OECD recession indicator.</w:t>
      </w:r>
    </w:p>
    <w:p>
      <w:pPr>
        <w:widowControl w:val="on"/>
        <w:pBdr/>
        <w:spacing w:before="240" w:after="240" w:line="240" w:lineRule="auto"/>
        <w:ind w:left="0" w:right="0"/>
        <w:jc w:val="left"/>
      </w:pPr>
      <w:r>
        <w:rPr>
          <w:color w:val="000000"/>
          <w:sz w:val="24"/>
          <w:szCs w:val="24"/>
        </w:rPr>
        <w:t xml:space="preserve">The results show that by plugging the unemployment rate as the exogenous variable in the regression, our model’s accuracy increases to 70%, which means that the model correctly predicts 7 out of 10 business cycles.</w:t>
      </w:r>
    </w:p>
    <w:p>
      <w:pPr>
        <w:widowControl w:val="on"/>
        <w:pBdr/>
        <w:spacing w:before="240" w:after="240" w:line="240" w:lineRule="auto"/>
        <w:ind w:left="0" w:right="0"/>
        <w:jc w:val="left"/>
      </w:pPr>
      <w:r>
        <w:rPr>
          <w:color w:val="000000"/>
          <w:sz w:val="24"/>
          <w:szCs w:val="24"/>
        </w:rPr>
        <w:br/>
        <w:t xml:space="preserve">Keywords: Markov switching dynamic regression model, hidden Markov models, business cycles, recession, economic crisis, forecasting, dynamic factor model,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17743">
    <w:multiLevelType w:val="hybridMultilevel"/>
    <w:lvl w:ilvl="0" w:tplc="91735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17743">
    <w:abstractNumId w:val="773177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681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