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SZOLYKA ÉVA ALINA</w:t>
            </w:r>
          </w:p>
          <w:p w:rsidR="00C275A3" w:rsidRDefault="00186641" w:rsidP="00C275A3">
            <w:pPr>
              <w:pStyle w:val="Hallgatokepzes"/>
            </w:pPr>
            <w:r w:rsidRPr="002361E2">
              <w:rPr>
                <w:i/>
              </w:rPr>
              <w:t>szolyka.eva.alina@gmail.com</w:t>
            </w:r>
            <w:r w:rsidRPr="002361E2">
              <w:rPr>
                <w:i/>
              </w:rPr>
              <w:br/>
            </w:r>
            <w:r w:rsidR="00A96AEC">
              <w:t>osztatlan tanárképzés (angol nyelv és kultúra tanára, magyartanár)</w:t>
            </w:r>
            <w:r w:rsidR="00A96AEC">
              <w:br/>
            </w:r>
            <w:r w:rsidR="00E77B23">
              <w:t>Osztatlan, 5.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Halápi Magdolna</w:t>
            </w:r>
          </w:p>
          <w:p w:rsidR="00DB4822" w:rsidRDefault="00DB4822" w:rsidP="009763E0">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Szorongás és nyelvtanulás – stratégiák a szorongás legyőzésére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present study deals with the relationship between anxiety and language learning. Most studies in this field state that language anxiety is a distinct phenomenon. However, currently, the role of personality traits in language learning and the approach that sees language anxiety as a manifestation of other types of anxiety are gaining more and more attention. Since I was interested in whether language anxiety is related to trait anxiety, my intention was to investigate how these anxieties are related. In addition, my research aimed to explore the possible differences between the level of foreign language anxiety and the coping strategies applied by English major and non-English major university students. The research tools used were questionnaires (62 respondents) and interviews (8 students). The analysis of the data revealed that English majors reported moderate state anxiety and high trait anxiety, while non-English majors reported moderate state and moderate trait anxiety. 12 out of 29 English majors and 6 out of 33 non-English majors experienced facilitating language anxiety, which might show that more committed learners may utilize anxiety better. Although English majors experienced lower levels of foreign language anxiety, the difference between the two groups was not significant. As for the relationship between trait anxiety and language anxiety, the present research suggests that it is highly possible that there is a connection between them. 95% of trait anxious individuals with debilitating language anxiety also had foreign language anxiety in the non-English major group, and the proportion was 85,71% among English majors. In both groups, the most widely used and helpful coping strategy was listening to music. There was no real difference between the techniques applied to reduce foreign language anxiety in the groups; however, the number of English majors who reported that their teachers used coping strategies was much higher than that of non-English majors. This might indicate that ELT methodology shows competence in the field, which might be useful to disseminate among other teachers as well. The results of the present research cannot be generalized, but this area is worth further and deeper investigation. Nevertheless, the findings suggest that there is a tendency for trait anxious students to experience language anxiety, and this finding might help language learners and teachers search for new strategies to cope with language anxiety.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356603">
    <w:multiLevelType w:val="hybridMultilevel"/>
    <w:lvl w:ilvl="0" w:tplc="918042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356603">
    <w:abstractNumId w:val="803566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51627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