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KŐSZEGI ÁRON</w:t>
            </w:r>
          </w:p>
          <w:p w:rsidR="00C275A3" w:rsidRDefault="00186641" w:rsidP="00C275A3">
            <w:pPr>
              <w:pStyle w:val="Hallgatokepzes"/>
            </w:pPr>
            <w:r w:rsidRPr="002361E2">
              <w:rPr>
                <w:i/>
              </w:rPr>
              <w:t>koszegi.aron1@gmail.com</w:t>
            </w:r>
            <w:r w:rsidRPr="002361E2">
              <w:rPr>
                <w:i/>
              </w:rPr>
              <w:br/>
            </w:r>
            <w:r w:rsidR="00A96AEC">
              <w:t>Alkalmazott nyelvészet</w:t>
            </w:r>
            <w:r w:rsidR="00A96AEC">
              <w:br/>
            </w:r>
            <w:r w:rsidR="00E77B23">
              <w:t>MA, 8.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Bodó Csanád</w:t>
            </w:r>
          </w:p>
          <w:p w:rsidR="00DB4822" w:rsidRDefault="00DB4822" w:rsidP="009763E0">
            <w:pPr>
              <w:pStyle w:val="Konzulensektitulus"/>
            </w:pPr>
            <w:r w:rsidRPr="00DB4822">
              <w:t>habil. egy. docens, ELTE BTK</w:t>
            </w:r>
          </w:p>
        </w:tc>
      </w:tr>
      <w:tr w:rsidR="00DB4822" w:rsidTr="00DB4822">
        <w:tc>
          <w:tcPr>
            <w:tcW w:w="9854" w:type="dxa"/>
          </w:tcPr>
          <w:p w:rsidR="00DB4822" w:rsidRPr="00DB4822" w:rsidRDefault="00DB4822" w:rsidP="009763E0">
            <w:pPr>
              <w:pStyle w:val="Konzulenseknev"/>
            </w:pPr>
            <w:r w:rsidRPr="00DB4822">
              <w:t>Szabó Gergely</w:t>
            </w:r>
          </w:p>
          <w:p w:rsidR="00DB4822" w:rsidRDefault="00DB4822" w:rsidP="009763E0">
            <w:pPr>
              <w:pStyle w:val="Konzulensektitulus"/>
            </w:pPr>
            <w:r w:rsidRPr="00DB4822">
              <w:t>tudományos segédmunkatárs,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Maszkulinitások konstrukciói egy tematikus magazinban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meleg maszkulinitások kiemelt jelentőségűek a szociolingvisztikának a nyelv, nem és szexualitás összefüggéseit vizsgáló területén, mivel a férfiség diskurzusai akkor válnak a leginkább felismerhetővé, ha olyan nemi vagy szexuális kisebbségek képezik a kutatás tárgyát, amelyek nem felelnek meg a heteronormativitásnak (Cameron 2005). Jelen kutatás célkitűzése egy olyan magazin vizsgálata volt, amely meleg magazinként indult, ma már azonban inkább LMBTQ magazinként reprezentálja magát. Hazai kutatások foglalkoztak már maszkulinitások konstrukcióival, olyan vizsgálat azonban, amely LMBTQ magazint elemzett volna ebből a szempontból, még nem született. Ezt az űrt azért fontos betölteni, mivel egy ilyen kutatás rávilágíthat arra, hogy a magyarországi LMBTQ kisebbség életében fontos szerepet játszik egy magazin, amelynek a célja nem csak a szórakoztatás, hanem a társadalmi a szerepvállalás is. Utóbbi magában foglalja a párbeszéd kezdeményezését a nemi és szexuális kisebbségek, és a társadalom egésze között, valamint minták nyújtását olyan meleg férfiak számára, akik még küzdenek saját maguk elfogadásával. A kutatás vizsgálati anyagát a Humen 2019. évi évfolyama képezi. A vizsgálat komplex módszertannal tesz kísérletet a kutatási kérdések megválaszolására. Ez jelent egyrészt korpuszalapú, kvantitatív, másrészt kvalitatív elemzéseket. Utóbbi pedig nemcsak a szövegekre, de a vizuális elemekre is kiterjed. A vegyes módszertan alkalmazása magazinok elemzéséhez különösen jól illeszkedik, mivel ezek nagy szöveg- és képmennyiséget is tartalmaznak. A kutatás amellett érvel, hogy a Humen már inkább LMBTQ magazinként reprezentálja magát, ugyanakkor a férfiakat továbbra is felülreprezentálja. Másrészt a férfiképek konstrukcióját is befolyásolja az, hogy a lap elmozdult az LMBTQ személyek megjelenítése felé: ennek megfelelően értékelik az elemzett szövegek a maszkulinitás-konstrukciókat. Összefoglalásképpen, ez a kutatás azáltal, hogy megvizsgálja a magazin férfiképeit, rávilágít arra, hogy a populáris kultúra termékei kísérletet tesznek arra, hogy aktív szerepet játsszanak egy kisebbség életében, és a társadalmi elfogadásában.</w:t>
      </w:r>
    </w:p>
    <w:p>
      <w:pPr>
        <w:widowControl w:val="on"/>
        <w:pBdr/>
        <w:spacing w:before="240" w:after="240" w:line="240" w:lineRule="auto"/>
        <w:ind w:left="0" w:right="0"/>
        <w:jc w:val="left"/>
      </w:pPr>
      <w:r>
        <w:rPr>
          <w:color w:val="000000"/>
          <w:sz w:val="24"/>
          <w:szCs w:val="24"/>
        </w:rPr>
        <w:t xml:space="preserve">Bibliográfia</w:t>
      </w:r>
      <w:r>
        <w:rPr>
          <w:color w:val="000000"/>
          <w:sz w:val="24"/>
          <w:szCs w:val="24"/>
        </w:rPr>
        <w:br/>
        <w:t xml:space="preserve">Cameron, Deborah 2005. Language, Gender and Sexuality: Current Issues and New Directions. Applied Linguistics 26/4: 482–502.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89237">
    <w:multiLevelType w:val="hybridMultilevel"/>
    <w:lvl w:ilvl="0" w:tplc="102510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89237">
    <w:abstractNumId w:val="571892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52556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