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DALMA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molnarlaura0621@gmail.com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Barta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 eszközzel, vagy csak egy újabb eljárással gazdagodott fizetésképtelenségi jogunk? - A szerkezetátalakítási eljárás egyes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Évekkel ezelőtt az Európai Unió tette meg az első lépéseket egy olyan új eljárás bevezetése érdekében, amely a pénzügyi nehézségekkel küzdő, de még nem fizetésképtelen, „életképes” adós vállalkozásokat képes megmenteni a megszűnéstől. Az uniós törekvések eredményeként a szerkezetátalakításról és egyes törvények jogharmonizációs célú módosításáról szóló 2021. évi LXIV. törvény 2022. július 1-jén lépett hatályba Magyarországon. Ezzel összefüggésben azt vizsgálom, hogy bizonyos értelemben a „kényszer” megoldás tud-e szervesen és sikeresen beépülni a magyar gyakorlatban, a vállalati gondolkodásba? Milyen tapasztalati előzmények vannak a vállalatok megmentése terén a magyar csődjogi gyakorlatban, lehet-e ezekből következtetéseket levonni a szerkezetátalakítások sikerességét illetően?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másik célja, hogy kimutassa, milyen jogi garanciák vannak az új jogszabályba beépítve arra nézve, hogy csak az átmenetileg likviditási zavarokkal küzdő vállalkozásoknak biztosítsa az eljárás lehetőségét a sikeresség érdekében? Vannak-e vagy lehetnek-e egyéb jogi garanciák, fejleszthető-e a jogi szabályozás ezen a téren, milyen biztosítékok vannak arra, – van-e utókövetés, ellenőrzés – hogy ténylegesen működik, és törekszik az egyezség betartására az adós?</w:t>
      </w:r>
      <w:r>
        <w:rPr>
          <w:color w:val="000000"/>
          <w:sz w:val="24"/>
          <w:szCs w:val="24"/>
        </w:rPr>
        <w:br/>
        <w:t xml:space="preserve">Kvantitatív kutatási módszert alkalmazva a statisztikai adatokat alapul véve tagállami szinten szeretnék rámutatni arra, hogy hány fizetésképtelenségi eljárás indul évente, ebből hány vállalkozás szűnt meg, vagy menekült meg a szerkezetátalakítási eljárásnak köszönhetően. Kvalitatív kutatási módszerként egy felszámolóbiztossal készítettem interjút, hogy ő milyen garanciális szabályokat lát a szerkezetátalakítási eljárás törvényi rendelkezései között, illetve mit javasolna, hogyan lehetne fejleszteni az eljárás szabályozását a céljának még eredményesebb elérés érdekében.</w:t>
      </w:r>
      <w:r>
        <w:rPr>
          <w:color w:val="000000"/>
          <w:sz w:val="24"/>
          <w:szCs w:val="24"/>
        </w:rPr>
        <w:br/>
        <w:t xml:space="preserve">Az elmúlt évek gyakorlatának egyik legfontosabb tanulságának tartom, hogy a hitelrestruktúrálás, a hitelezőkkel való megegyezés, nem helyettesíti a vállalkozás reorganizációját, amely potenciálisan biztosíthatja a vállalkozás fennmaradását.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56192">
    <w:multiLevelType w:val="hybridMultilevel"/>
    <w:lvl w:ilvl="0" w:tplc="56036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56192">
    <w:abstractNumId w:val="61956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513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