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ÁMIK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amikakos@gmail.com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Cieger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Eötvös Loránd Kutatási Hálózat Bölcsészettudományi Kutatóközpont Történettudományi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 és közélet: a természeti környezet átalakításának vitái és eredményei a 19. század Szabolcs vármegyéjében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Nyírség és a Felső-Tisza-vidékhez tartozó Rétköz Szabolcs vármegye két egymással szomszédos területe. A 19. század második feléig folyamatos problémát okoztak az ár és belvizek. Az évtizedek során politikai csoportok és kormányzatok különböző módszerekkel és tervekkel kívánták elérni a Tisza, ezzel együtt a Rétköz árterének mentesítését, valamint a nyírségi belvizek csatornázását.</w:t>
      </w:r>
      <w:r>
        <w:rPr>
          <w:color w:val="000000"/>
          <w:sz w:val="24"/>
          <w:szCs w:val="24"/>
        </w:rPr>
        <w:br/>
        <w:t xml:space="preserve">Dolgozatunk során azon kérdést járjuk körbe, hogy milyen gazdasági viszonyban állott a 19.század során a Nyírség és a Rétköz egymással, így a területek közötti kezdetben komplementer viszony milyen események sorozata következtében alakult egyenlőtlenül, s végül milyen közéletben végbement szemléletváltozások vezettek el a nyírségi belvizeket elvezető csatorna megépítéséhez. Ennek keretében több szabolcsi és országos eseményt is vizsgálunk a neoabszolutizmus-kor első nyírvízszabályozási vitájától az 1860-as évek aszályos időszakán át az 1879-ben, és 1881-ben bekövetkezett tiszai árvizek közéleti hatásainak ismertetéséig. Külön kiemelendőnek tartjuk azon szabolcsi birtokosokat, akik hosszú évekig meghatározták a belvizek elvezetéséért folytatott küzdelmet, így ismertetjük Lónyay Menyhértnek e téren végzett, több évtizedes munkáját és az általa irányított Felső-szabolcsi Tiszaszabályozó Társulatnak az ún. nyíri vizek elvezetéséért és a mentesített terület művelhetővé tételéért a kormányzattal folytatott „harcát”.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44819">
    <w:multiLevelType w:val="hybridMultilevel"/>
    <w:lvl w:ilvl="0" w:tplc="18566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44819">
    <w:abstractNumId w:val="582448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080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