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KRÉZ GELLÉRT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gellertkcu200@gmail.com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Mancherz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„Az erőm olyan, mint 27 éves korában, összetépek akárkit!” Aktív és passzív szakaszok Bátori Schulcz Bódog (1804–1885) honvéd ezredes életében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19. századi magyar hadtörténelem alighanem legkiemelkedőbb fejezete az 1848–49-es szabadságharc. A katonai vereség ellenére is olyan eredményeket hoztak ezek az esztendők, mint a tavaszi hadjárat vagy a komáromi erőd védelme. Ezen sikerekhez nagyban hozzájárult Bátori Schulcz Bódog is, aki a szabadságharc során a 17. honvédzászlóalj parancsnoka, valamint a felső-tiszai, majd az ebből kialakuló I. hadtest egyik dandárparancsnoka is volt, 1849 júliusának közepétől pedig Klapka György helyetteseként Komáromban tevékenykedett.</w:t>
      </w:r>
      <w:r>
        <w:rPr>
          <w:color w:val="000000"/>
          <w:sz w:val="24"/>
          <w:szCs w:val="24"/>
        </w:rPr>
        <w:br/>
        <w:t xml:space="preserve">Schulcz a szabadságharc azon törzstisztjei közé tartozik, akiknek személye viszonylag ismertnek számít. Ezt az Egervári Ödön közreműködésével 1870-ben megjelenő visszaemlékezései és olykor hajmeresztő vakmerősége mellett nagyothallásának köszönheti, amely olyannyira súlyos volt, hogy „Isaszegnél a leghevesebb ágyúzás alkalmával környezetéhez így szólt: «Azt hiszem, az osztrák[ok]… már ismét puskáznak.»” Schulcz életútjával azonban eddig nem foglalkozott behatóbb kutatás. Ettől függetlenül természetesen keletkeztek olyan tanulmányok, monográfiák és okmánytárak, amelyek fontos adalékokat tartalmaznak ténykedésére vonatkozóan.</w:t>
      </w:r>
      <w:r>
        <w:rPr>
          <w:color w:val="000000"/>
          <w:sz w:val="24"/>
          <w:szCs w:val="24"/>
        </w:rPr>
        <w:br/>
        <w:t xml:space="preserve">Az ezredes életrajzának feldolgozatlansága mellett az is indokolttá tette a kutatás megkezdését, hogy meglehetősen kedvezők a téma forrásadottságai, hiszen számos más szabadságharcos és Schulcz saját emlékirata mellett a császári-királyi hadsereg bécsi hadilevéltárban őrzött tiszti minősítései, valamint a szabadságharcot követő évtizedekben született történetírói művek is remekül használhatók a kutatás során. Ezen hasznos források ellenére a legtöbb nóvumot a tiszt biográfusának küldött levelei tartalmazták.</w:t>
      </w:r>
      <w:r>
        <w:rPr>
          <w:color w:val="000000"/>
          <w:sz w:val="24"/>
          <w:szCs w:val="24"/>
        </w:rPr>
        <w:br/>
        <w:t xml:space="preserve">Dolgozatom célja nem csupán az ezredes életrajzának bemutatása, hanem igyekszem választ adni azokra a kérdésekre is, hogy milyen csapatparancsnok volt Schulcz, mennyiben befolyásolta nagyothallása az 1848/49. évi ténykedését, és hogy mi történt vele a neoabszolutista rendszer idején. Szeretném bemutatni továbbá, hogy milyen kapcsolatai hálóval és ezzel összefüggésben milyen lehetőségekkel rendelkezett a szabadságharcot követő évtizedekben, valamint azt, hogy veterántársaihoz képest mennyire nevezhető tipikusnak az életpályája. Mindezt aktív és passzív életszakaszainak elkülönítésével és összehasonlításával igyekszem keretbe foglalni.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46914">
    <w:multiLevelType w:val="hybridMultilevel"/>
    <w:lvl w:ilvl="0" w:tplc="65008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46914">
    <w:abstractNumId w:val="547469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742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