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szabolcs.olah99@gmail.com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Gábor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Jász-Nagykun-Szolnok vármegye vitézi társadalma a 20-as és 30-as években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ismertessem és elemezzem a vármegyei vitézek belső összetételét és annak arányait, hogy ezáltal bemutassam a Jász-Nagykun-Szolnok vármegyei Vitézi Szék állományán belüli állapotokat, illetve az országos és vármegyei adatok összevetésével kimutassam mennyire tükrözték a vármegyei vitézek a magyar társadalmi arányokat. Értekezésem írása során a levéltári források, illetve a Vitézi Rend saját (kortárs) kiadványai képeztek a kutatás fő gerincét, melyet a témában íródott szakirodalom egészít ki. Kiszeretném emelni, hogy a kutatásom alapját a fennmaradt kettő vitézi törzskönyv képezte, melyek esetében egy unikális forrásról beszélhetünk. A megyei levéltárak esetében a raktári jegyzékek alapján, csak Jász-Nagykun-Szolnok megyei levéltár őriz vitézi törzskönyveket.</w:t>
      </w:r>
      <w:r>
        <w:rPr>
          <w:color w:val="000000"/>
          <w:sz w:val="24"/>
          <w:szCs w:val="24"/>
        </w:rPr>
        <w:br/>
        <w:t xml:space="preserve">A születési évek esetében kimutatható, hogy egy 50 éves születési intervallumról van szó, melyen belül az 1880-as és 90-es évek szülöttjei vannak kiemelkedő számban, így kijelenthető, hogy a vármegye vitézeinek többsége az első világháborús frontharcosokból kerültek ki. A vitézavatások esetében megállapítható volt, hogy vármegyei szinten is az 1929-es és 1938-as vitézavatások bírtak a legnagyobb fontossággal és volumennel, illetve az eredmények rámutatnak az ezen irányú szakirodalom hiányosságára, mivel a szakirodalom 1938-as vitézavatásig, csak ünnepélyes vitézavatásokat taglal, pedig 1938-as vitézavatás előtt is voltak regionális szintű avatások. A rendfokozatok esetében egy vegyes kép rajzolódik ki, mely a Császári és Királyi Hadsereg és a Honvédség közötti különbözőségből adódik. E különbségek mellett a kutatás rámutat a civilek magas arányára, illetve a tiszti és legénységi vitézek arányára.</w:t>
      </w:r>
      <w:r>
        <w:rPr>
          <w:color w:val="000000"/>
          <w:sz w:val="24"/>
          <w:szCs w:val="24"/>
        </w:rPr>
        <w:br/>
        <w:t xml:space="preserve">Családi állapotok terén kimutatható volt a házasok magas aránya, amely rámutat a Vitézi Rend „családpolitikájára”, illetve jelzi a különbözőséget a magyar társadalommal szemben. A vallások esetében megállapítható mind a magyar társadalomban, mind a vármegyei vitézeknél a római katolikusok és a reformátusok által képezett két nagy „tömb”, illetve az adatok rámutatnak arra, hogy a vármegyei vitézek nem tudták letükrözni a magyar társadalom vallási sokszínűségét. A foglalkozások esetében kirajzolódott a vármegyei vitézeken belüli agrárközpontúság, melyben tükrözik a magyar társadalmat, így ez az egy foglalkoztatási csoport ahol tükrözi a vármegyei vitézek a magyar társadalmat. E mellett kimutatásra került, hogy vármegyei szinten milyen társadalmi rétegekre támaszkodhatott a Vitézi Rend.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68708">
    <w:multiLevelType w:val="hybridMultilevel"/>
    <w:lvl w:ilvl="0" w:tplc="76208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68708">
    <w:abstractNumId w:val="18768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966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