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CSIKÓS GRÉTA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csikos.greti@gmail.com</w:t>
            </w:r>
            <w:r w:rsidRPr="002361E2">
              <w:rPr>
                <w:i/>
              </w:rPr>
              <w:br/>
            </w:r>
            <w:r w:rsidR="00A96AEC">
              <w:t>Magyar-Német Osztatlan Tanári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Hansági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"A' melly ember szeretni tud, soha sem lehet egészen rossz" Az Életképek 1847/1. félévének novellái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folyóiratkutatás hosszú időn keresztül a humán és társadalomtudományok segédtudományaként szolgált, a kultúratudományi és digitális fordulatnak köszönhetően azonban interdiszciplináris tudományággá fejlődött. Az archívumok digitalizációja új kutatási technológiák mellett új kutatási kérdéseket és megközelítéseket is felvet: az angolszász környezetben bevetté vált Periodical Studies a folyóiratokat a maguk dinamikusságában igyekszik megragadni. A dolgozat célja az Életképek 1847/1. féléve során megjelent novellák szisztematikus elemzése az angol módszertan használatával - az elbeszélésekben megjelenített helyszínek, szereplők és narratív mintázatok vizsgálata képezi kutatásom homlokterét. A félév lapszámait összefüggő tartalomfolyamként olvasva láthatóvá válik a hetilap dinamikája: a hat hónap irodalmi anyagán átívelő tematikus csomópontok (pl. szerelmi házasság, szülők bűnei miatt szenvedő gyermekek, testi és lelki alkat diszkrepanciája) mentén az (akár egymással párbeszédbe lépő) szövegek olyan, a korban aktuális és érdekes témákra reflektálnak, mint a különböző társadalmi rétegek által lehetővé tett női szerepek és funkciók, vagy a nyelvi autentikusság kérdése. A novellák cselekményének helyszínét, a megjelenített szereplőket és a felhasznált narratív sémákat egymásra vetítve három tendencia körvonalazódik: (1) a polgári–biedermeier stílusú elbeszélések, (2) a gótikus irodalom jegyeit hordozó, arisztokrata szereplőket mozgató novellák, és (3) a falusi történetek. A divatlap szépprózai szövegeit vizsgálva nemcsak arra kaphatunk választ, hogy mit olvasott a 19. század derekán élő magyar polgárság, hanem az utókor által kanonikusként számon tartott szerzők műveinek elsődleges kontextusát is jobban megismerhetjük, ami hozzájárulhat az irodalmi kánonban elfoglalt helyük és szerepük árnyalásához.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09964">
    <w:multiLevelType w:val="hybridMultilevel"/>
    <w:lvl w:ilvl="0" w:tplc="22407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09964">
    <w:abstractNumId w:val="530099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1528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