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POLYÁK ISTVÁN MÁTYÁS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polistaa@gmail.com</w:t>
            </w:r>
            <w:r w:rsidRPr="002361E2">
              <w:rPr>
                <w:i/>
              </w:rPr>
              <w:br/>
            </w:r>
            <w:r w:rsidR="00A96AEC">
              <w:t>Német nyelv és kultúra tanára - történelemtanár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Andreas Latzko művei a háború ellen. Két elbeszélés konstitutív elemei narratológiai szempontból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Dolgozatom témája Andreas Latzko, avagy Latzkó Andor (1876-1943) magyar származású, de</w:t>
      </w:r>
      <w:r>
        <w:rPr>
          <w:color w:val="000000"/>
          <w:sz w:val="24"/>
          <w:szCs w:val="24"/>
        </w:rPr>
        <w:br/>
        <w:t xml:space="preserve">1902-től német nyelven alkotó, elfeledett pacifista író életének és műveinek bemutatása.</w:t>
      </w:r>
      <w:r>
        <w:rPr>
          <w:color w:val="000000"/>
          <w:sz w:val="24"/>
          <w:szCs w:val="24"/>
        </w:rPr>
        <w:br/>
        <w:t xml:space="preserve">Különös hangsúlyt fektetek a kortárs recepcióra, illetve művészeti áttörést jelentő két kötetének</w:t>
      </w:r>
      <w:r>
        <w:rPr>
          <w:color w:val="000000"/>
          <w:sz w:val="24"/>
          <w:szCs w:val="24"/>
        </w:rPr>
        <w:br/>
        <w:t xml:space="preserve">tematikus sajátosságaira és az ezekből származó két művének narratológiai szempontú</w:t>
      </w:r>
      <w:r>
        <w:rPr>
          <w:color w:val="000000"/>
          <w:sz w:val="24"/>
          <w:szCs w:val="24"/>
        </w:rPr>
        <w:br/>
        <w:t xml:space="preserve">elemzésére. A szerző harcolt az első világháborúban, ahol harctéri idegsokkot kapott és ennek</w:t>
      </w:r>
      <w:r>
        <w:rPr>
          <w:color w:val="000000"/>
          <w:sz w:val="24"/>
          <w:szCs w:val="24"/>
        </w:rPr>
        <w:br/>
        <w:t xml:space="preserve">következtében egy svájci szanatóriumba küldték gyógyulni. Itt a fronton szerzett</w:t>
      </w:r>
      <w:r>
        <w:rPr>
          <w:color w:val="000000"/>
          <w:sz w:val="24"/>
          <w:szCs w:val="24"/>
        </w:rPr>
        <w:br/>
        <w:t xml:space="preserve">élményei alapján írta meg az 1917-ben publikált Menschen im Krieg (Emberek a háborúban)</w:t>
      </w:r>
      <w:r>
        <w:rPr>
          <w:color w:val="000000"/>
          <w:sz w:val="24"/>
          <w:szCs w:val="24"/>
        </w:rPr>
        <w:br/>
        <w:t xml:space="preserve">című művét, mellyel hatalmas sikert aratott, és 1918-ban pedig a kevésbé ismert</w:t>
      </w:r>
      <w:r>
        <w:rPr>
          <w:color w:val="000000"/>
          <w:sz w:val="24"/>
          <w:szCs w:val="24"/>
        </w:rPr>
        <w:br/>
        <w:t xml:space="preserve">Friedensgericht (Békebíróság) című művét. A Menschen im Kriegből a Der Sieger (A győztes)</w:t>
      </w:r>
      <w:r>
        <w:rPr>
          <w:color w:val="000000"/>
          <w:sz w:val="24"/>
          <w:szCs w:val="24"/>
        </w:rPr>
        <w:br/>
        <w:t xml:space="preserve">című elbeszélést, a Friedensgerichtből a Der Verräter (Az áruló) című elbeszélést elemzem</w:t>
      </w:r>
      <w:r>
        <w:rPr>
          <w:color w:val="000000"/>
          <w:sz w:val="24"/>
          <w:szCs w:val="24"/>
        </w:rPr>
        <w:br/>
        <w:t xml:space="preserve">részletesebben.</w:t>
      </w:r>
      <w:r>
        <w:rPr>
          <w:color w:val="000000"/>
          <w:sz w:val="24"/>
          <w:szCs w:val="24"/>
        </w:rPr>
        <w:br/>
        <w:t xml:space="preserve">   A fellelhető újságcikkek alapvetően az író pozitív kortárs recepcióját támasztják alá,</w:t>
      </w:r>
      <w:r>
        <w:rPr>
          <w:color w:val="000000"/>
          <w:sz w:val="24"/>
          <w:szCs w:val="24"/>
        </w:rPr>
        <w:br/>
        <w:t xml:space="preserve">így ennek fényében meglepő lehet, hogy a 70-es, 80-as évekig gyakorlatilag nem találhatunk</w:t>
      </w:r>
      <w:r>
        <w:rPr>
          <w:color w:val="000000"/>
          <w:sz w:val="24"/>
          <w:szCs w:val="24"/>
        </w:rPr>
        <w:br/>
        <w:t xml:space="preserve">vele foglalkozó tudományos jellegű műveket. A szerző életművének kutatása az utóbbi években</w:t>
      </w:r>
      <w:r>
        <w:rPr>
          <w:color w:val="000000"/>
          <w:sz w:val="24"/>
          <w:szCs w:val="24"/>
        </w:rPr>
        <w:br/>
        <w:t xml:space="preserve">lendült fel, viszont még nem született műveit irodalomelméleti szempontból feldolgozó</w:t>
      </w:r>
      <w:r>
        <w:rPr>
          <w:color w:val="000000"/>
          <w:sz w:val="24"/>
          <w:szCs w:val="24"/>
        </w:rPr>
        <w:br/>
        <w:t xml:space="preserve">tanulmány, így dolgozatom ilyen szempontból hiánypótló.</w:t>
      </w:r>
      <w:r>
        <w:rPr>
          <w:color w:val="000000"/>
          <w:sz w:val="24"/>
          <w:szCs w:val="24"/>
        </w:rPr>
        <w:br/>
        <w:t xml:space="preserve">   Az irodalomelméleti részt Gérard Genette narratológiájára alapozom, mivel az általa</w:t>
      </w:r>
      <w:r>
        <w:rPr>
          <w:color w:val="000000"/>
          <w:sz w:val="24"/>
          <w:szCs w:val="24"/>
        </w:rPr>
        <w:br/>
        <w:t xml:space="preserve">alkalmazott kategóriák ideálisak a két mű sajátosságainak bemutatására. Alapvetően az</w:t>
      </w:r>
      <w:r>
        <w:rPr>
          <w:color w:val="000000"/>
          <w:sz w:val="24"/>
          <w:szCs w:val="24"/>
        </w:rPr>
        <w:br/>
        <w:t xml:space="preserve">elbeszélőt, a fokalizáció alkalmazását, az ezzel összefüggő időkezelést,</w:t>
      </w:r>
      <w:r>
        <w:rPr>
          <w:color w:val="000000"/>
          <w:sz w:val="24"/>
          <w:szCs w:val="24"/>
        </w:rPr>
        <w:br/>
        <w:t xml:space="preserve">továbbá az ezek által létrehozott egyedi esztétikát vizsgálom behatóbban. Dolgozatom</w:t>
      </w:r>
      <w:r>
        <w:rPr>
          <w:color w:val="000000"/>
          <w:sz w:val="24"/>
          <w:szCs w:val="24"/>
        </w:rPr>
        <w:br/>
        <w:t xml:space="preserve">narratológiai elemzés részét adatvizualizációval tettem szemléletesebbé, ezáltal digitális</w:t>
      </w:r>
      <w:r>
        <w:rPr>
          <w:color w:val="000000"/>
          <w:sz w:val="24"/>
          <w:szCs w:val="24"/>
        </w:rPr>
        <w:br/>
        <w:t xml:space="preserve">bölcsészeti módszerekkel is kísérleteztem.</w:t>
      </w:r>
      <w:r>
        <w:rPr>
          <w:color w:val="000000"/>
          <w:sz w:val="24"/>
          <w:szCs w:val="24"/>
        </w:rPr>
        <w:br/>
        <w:t xml:space="preserve">   Az elemzés során láthatóvá válik, hogy a két mű szerkezetileg hasonló, ugyanakkor változatos</w:t>
      </w:r>
      <w:r>
        <w:rPr>
          <w:color w:val="000000"/>
          <w:sz w:val="24"/>
          <w:szCs w:val="24"/>
        </w:rPr>
        <w:br/>
        <w:t xml:space="preserve">nézőpontokból a háború különböző aspektusait mutatják be. Ez az átgondolt narratív</w:t>
      </w:r>
      <w:r>
        <w:rPr>
          <w:color w:val="000000"/>
          <w:sz w:val="24"/>
          <w:szCs w:val="24"/>
        </w:rPr>
        <w:br/>
        <w:t xml:space="preserve">szerkesztés segíti a megformált karakterek érzékletes ábrázolását, mely a belső fokalizációban</w:t>
      </w:r>
      <w:r>
        <w:rPr>
          <w:color w:val="000000"/>
          <w:sz w:val="24"/>
          <w:szCs w:val="24"/>
        </w:rPr>
        <w:br/>
        <w:t xml:space="preserve">csúcsosodik ki. Itt a visszatekintéseknek köszönhetően narratív „pszichogrammok” rajzolódnak</w:t>
      </w:r>
      <w:r>
        <w:rPr>
          <w:color w:val="000000"/>
          <w:sz w:val="24"/>
          <w:szCs w:val="24"/>
        </w:rPr>
        <w:br/>
        <w:t xml:space="preserve">ki, melyek által az alapvetően típuskarakterek egyedi személyiséget kapnak, így több</w:t>
      </w:r>
      <w:r>
        <w:rPr>
          <w:color w:val="000000"/>
          <w:sz w:val="24"/>
          <w:szCs w:val="24"/>
        </w:rPr>
        <w:br/>
        <w:t xml:space="preserve">szempontból bemutatva a háború borzalmait. Megnyilvánulásaikon, gondolataikon keresztül</w:t>
      </w:r>
      <w:r>
        <w:rPr>
          <w:color w:val="000000"/>
          <w:sz w:val="24"/>
          <w:szCs w:val="24"/>
        </w:rPr>
        <w:br/>
        <w:t xml:space="preserve">mindig megjelenik a szerző háborúellenes, pacifista hozzáállása, melyet gyakran erős</w:t>
      </w:r>
      <w:r>
        <w:rPr>
          <w:color w:val="000000"/>
          <w:sz w:val="24"/>
          <w:szCs w:val="24"/>
        </w:rPr>
        <w:br/>
        <w:t xml:space="preserve">iróniával, egyes esetekben szatírával fejez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75569">
    <w:multiLevelType w:val="hybridMultilevel"/>
    <w:lvl w:ilvl="0" w:tplc="40978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75569">
    <w:abstractNumId w:val="133755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5353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