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s.eszti.77@gmail.com</w:t>
            </w:r>
            <w:r w:rsidRPr="002361E2">
              <w:rPr>
                <w:i/>
              </w:rPr>
              <w:br/>
            </w:r>
            <w:r w:rsidR="00A96AEC">
              <w:t>német-történelem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Nóra Margaréta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Holt-tengeri tekercsek a hellénisztikus és római korból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közepén feltárt gazdag qumráni leletanyagot sokszor, sok helyen</w:t>
      </w:r>
      <w:r>
        <w:rPr>
          <w:color w:val="000000"/>
          <w:sz w:val="24"/>
          <w:szCs w:val="24"/>
        </w:rPr>
        <w:br/>
        <w:t xml:space="preserve">kizárólagosan nevezik a holt-tengeri tekercseknek. Dolgozatomban arra szeretnék rávilágítani,</w:t>
      </w:r>
      <w:r>
        <w:rPr>
          <w:color w:val="000000"/>
          <w:sz w:val="24"/>
          <w:szCs w:val="24"/>
        </w:rPr>
        <w:br/>
        <w:t xml:space="preserve">hogy a Holt-tenger vidékén számos további lelőhelyről is kerültek elő különböző kéziratok.</w:t>
      </w:r>
      <w:r>
        <w:rPr>
          <w:color w:val="000000"/>
          <w:sz w:val="24"/>
          <w:szCs w:val="24"/>
        </w:rPr>
        <w:br/>
        <w:t xml:space="preserve">Rövid történeti bevezető után bemutatom, majd rendszerezem a wadi murabba’at-i, ein-gedi-i</w:t>
      </w:r>
      <w:r>
        <w:rPr>
          <w:color w:val="000000"/>
          <w:sz w:val="24"/>
          <w:szCs w:val="24"/>
        </w:rPr>
        <w:br/>
        <w:t xml:space="preserve">illetve maszadai dokumentumokat. Történeti jelentőségük miatt külön fejezetet szánok az ún.</w:t>
      </w:r>
      <w:r>
        <w:rPr>
          <w:color w:val="000000"/>
          <w:sz w:val="24"/>
          <w:szCs w:val="24"/>
        </w:rPr>
        <w:br/>
        <w:t xml:space="preserve">Bar-Kochba leveleknek, részben azért is, mert az ebbe a csoportba sorolt iratok nem köthetők</w:t>
      </w:r>
      <w:r>
        <w:rPr>
          <w:color w:val="000000"/>
          <w:sz w:val="24"/>
          <w:szCs w:val="24"/>
        </w:rPr>
        <w:br/>
        <w:t xml:space="preserve">egy konkrét lelőhelyhez, a régió több pontján is találtak ide sorolható szövegeket.</w:t>
      </w:r>
      <w:r>
        <w:rPr>
          <w:color w:val="000000"/>
          <w:sz w:val="24"/>
          <w:szCs w:val="24"/>
        </w:rPr>
        <w:br/>
        <w:t xml:space="preserve">Pályamunkám végén egy összefoglaló táblázat segítségével vizsgálom a fent említett iratok</w:t>
      </w:r>
      <w:r>
        <w:rPr>
          <w:color w:val="000000"/>
          <w:sz w:val="24"/>
          <w:szCs w:val="24"/>
        </w:rPr>
        <w:br/>
        <w:t xml:space="preserve">műfaji sajátosságait és helyezem el őket a görög-római kori történeti források térképén.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20374">
    <w:multiLevelType w:val="hybridMultilevel"/>
    <w:lvl w:ilvl="0" w:tplc="35940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20374">
    <w:abstractNumId w:val="94020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513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