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QUSAI SALAITA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qusaisalaita25699@gmail.com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Baráth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Hangyási Dávid Botond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different implantation protocols/strategies on attaining biological width: results from a prospective, single-center clinical study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Effects of different implantation protocols/strategies on attaining biological width:</w:t>
      </w:r>
      <w:r>
        <w:rPr>
          <w:color w:val="000000"/>
          <w:sz w:val="24"/>
          <w:szCs w:val="24"/>
        </w:rPr>
        <w:br/>
        <w:t xml:space="preserve">results from a prospective, single-center clinical study</w:t>
      </w:r>
      <w:r>
        <w:rPr>
          <w:color w:val="000000"/>
          <w:sz w:val="24"/>
          <w:szCs w:val="24"/>
        </w:rPr>
        <w:br/>
        <w:t xml:space="preserve">Hallgató neve:</w:t>
      </w:r>
      <w:r>
        <w:rPr>
          <w:color w:val="000000"/>
          <w:sz w:val="24"/>
          <w:szCs w:val="24"/>
        </w:rPr>
        <w:br/>
        <w:t xml:space="preserve">Department of Prosthodontics, Faculty of Dentistry, University of Szeged</w:t>
      </w:r>
      <w:r>
        <w:rPr>
          <w:color w:val="000000"/>
          <w:sz w:val="24"/>
          <w:szCs w:val="24"/>
        </w:rPr>
        <w:br/>
        <w:t xml:space="preserve">Introduction: The biological width around implant is a 3-4mm distance from the top of the</w:t>
      </w:r>
      <w:r>
        <w:rPr>
          <w:color w:val="000000"/>
          <w:sz w:val="24"/>
          <w:szCs w:val="24"/>
        </w:rPr>
        <w:br/>
        <w:t xml:space="preserve">peri-implant mucosa to the first bone-to-implant contact or the stabilized top of the adjacent</w:t>
      </w:r>
      <w:r>
        <w:rPr>
          <w:color w:val="000000"/>
          <w:sz w:val="24"/>
          <w:szCs w:val="24"/>
        </w:rPr>
        <w:br/>
        <w:t xml:space="preserve">bone, consisting of sulcular epithelium, junctional epithelium and fibrous connective tissue</w:t>
      </w:r>
      <w:r>
        <w:rPr>
          <w:color w:val="000000"/>
          <w:sz w:val="24"/>
          <w:szCs w:val="24"/>
        </w:rPr>
        <w:br/>
        <w:t xml:space="preserve">between the epithelium and the first bone-to-implant contact or the stabilized top of the</w:t>
      </w:r>
      <w:r>
        <w:rPr>
          <w:color w:val="000000"/>
          <w:sz w:val="24"/>
          <w:szCs w:val="24"/>
        </w:rPr>
        <w:br/>
        <w:t xml:space="preserve">adjacent bone.</w:t>
      </w:r>
      <w:r>
        <w:rPr>
          <w:color w:val="000000"/>
          <w:sz w:val="24"/>
          <w:szCs w:val="24"/>
        </w:rPr>
        <w:br/>
        <w:t xml:space="preserve">Methods: A prospective, open-label, single-center clinical study aimed to assess the efficacy</w:t>
      </w:r>
      <w:r>
        <w:rPr>
          <w:color w:val="000000"/>
          <w:sz w:val="24"/>
          <w:szCs w:val="24"/>
        </w:rPr>
        <w:br/>
        <w:t xml:space="preserve">and safety of a novel dental implant system; in the present analysis, the attainment of</w:t>
      </w:r>
      <w:r>
        <w:rPr>
          <w:color w:val="000000"/>
          <w:sz w:val="24"/>
          <w:szCs w:val="24"/>
        </w:rPr>
        <w:br/>
        <w:t xml:space="preserve">appropriate BW around implants was measured, which was a secondary outcome measure.</w:t>
      </w:r>
      <w:r>
        <w:rPr>
          <w:color w:val="000000"/>
          <w:sz w:val="24"/>
          <w:szCs w:val="24"/>
        </w:rPr>
        <w:br/>
        <w:t xml:space="preserve">Following sample size determination, partially-edentulous patients affected by periodontitis</w:t>
      </w:r>
      <w:r>
        <w:rPr>
          <w:color w:val="000000"/>
          <w:sz w:val="24"/>
          <w:szCs w:val="24"/>
        </w:rPr>
        <w:br/>
        <w:t xml:space="preserve">were voluntarily enrolled, if they met the inclusion criteria. BW was calculated based on</w:t>
      </w:r>
      <w:r>
        <w:rPr>
          <w:color w:val="000000"/>
          <w:sz w:val="24"/>
          <w:szCs w:val="24"/>
        </w:rPr>
        <w:br/>
        <w:t xml:space="preserve">implantation depth and gingival thickness, determined at the time of implantation. Statistical</w:t>
      </w:r>
      <w:r>
        <w:rPr>
          <w:color w:val="000000"/>
          <w:sz w:val="24"/>
          <w:szCs w:val="24"/>
        </w:rPr>
        <w:br/>
        <w:t xml:space="preserve">analyses were performed using IBM SPSS 22.0 software (significance level: p˂0.05).</w:t>
      </w:r>
      <w:r>
        <w:rPr>
          <w:color w:val="000000"/>
          <w:sz w:val="24"/>
          <w:szCs w:val="24"/>
        </w:rPr>
        <w:br/>
        <w:t xml:space="preserve">Results: Overall, 25 patients (10 males and 15 females; mean age: 48.40±2.35 years) were</w:t>
      </w:r>
      <w:r>
        <w:rPr>
          <w:color w:val="000000"/>
          <w:sz w:val="24"/>
          <w:szCs w:val="24"/>
        </w:rPr>
        <w:br/>
        <w:t xml:space="preserve">enrolled in the study to receive implants, with an implant survival rate of 98.8%. There were</w:t>
      </w:r>
      <w:r>
        <w:rPr>
          <w:color w:val="000000"/>
          <w:sz w:val="24"/>
          <w:szCs w:val="24"/>
        </w:rPr>
        <w:br/>
        <w:t xml:space="preserve">no significant differences observed between projected and final BW during the use of the</w:t>
      </w:r>
      <w:r>
        <w:rPr>
          <w:color w:val="000000"/>
          <w:sz w:val="24"/>
          <w:szCs w:val="24"/>
        </w:rPr>
        <w:br/>
        <w:t xml:space="preserve">„indended BW” implantation protocol (4.54±0.15 mm vs. 4.79±0.15 mm; p=0.067) and the</w:t>
      </w:r>
      <w:r>
        <w:rPr>
          <w:color w:val="000000"/>
          <w:sz w:val="24"/>
          <w:szCs w:val="24"/>
        </w:rPr>
        <w:br/>
        <w:t xml:space="preserve">„bone-level” implantation protocol 2.54±0021 mm vs. 2.18±0.09 mm; p=0.18), respectively.</w:t>
      </w:r>
      <w:r>
        <w:rPr>
          <w:color w:val="000000"/>
          <w:sz w:val="24"/>
          <w:szCs w:val="24"/>
        </w:rPr>
        <w:br/>
        <w:t xml:space="preserve">Bone healing around the implants was excellent using both protocols.</w:t>
      </w:r>
      <w:r>
        <w:rPr>
          <w:color w:val="000000"/>
          <w:sz w:val="24"/>
          <w:szCs w:val="24"/>
        </w:rPr>
        <w:br/>
        <w:t xml:space="preserve">Discussion: Having sufficient BW around implants is essential, as it forms a biological</w:t>
      </w:r>
      <w:r>
        <w:rPr>
          <w:color w:val="000000"/>
          <w:sz w:val="24"/>
          <w:szCs w:val="24"/>
        </w:rPr>
        <w:br/>
        <w:t xml:space="preserve">barrier against bacterial infections, improves adhesion quality, and has implications for</w:t>
      </w:r>
      <w:r>
        <w:rPr>
          <w:color w:val="000000"/>
          <w:sz w:val="24"/>
          <w:szCs w:val="24"/>
        </w:rPr>
        <w:br/>
        <w:t xml:space="preserve">clinical aspects of dental implantation. Extension of BW in the vertical dimension may be</w:t>
      </w:r>
      <w:r>
        <w:rPr>
          <w:color w:val="000000"/>
          <w:sz w:val="24"/>
          <w:szCs w:val="24"/>
        </w:rPr>
        <w:br/>
        <w:t xml:space="preserve">realized based on the implantation procedure, using clinical measurements and by inserting</w:t>
      </w:r>
      <w:r>
        <w:rPr>
          <w:color w:val="000000"/>
          <w:sz w:val="24"/>
          <w:szCs w:val="24"/>
        </w:rPr>
        <w:br/>
        <w:t xml:space="preserve">implants below the bone level.</w:t>
      </w:r>
      <w:r>
        <w:rPr>
          <w:color w:val="000000"/>
          <w:sz w:val="24"/>
          <w:szCs w:val="24"/>
        </w:rPr>
        <w:br/>
        <w:t xml:space="preserve">Témavezető: Prof. Dr. Zoltán Baráth, professor, Dr. Dávid Hangyási, assistant researcher</w:t>
      </w:r>
      <w:r>
        <w:rPr>
          <w:color w:val="000000"/>
          <w:sz w:val="24"/>
          <w:szCs w:val="24"/>
        </w:rPr>
        <w:br/>
        <w:t xml:space="preserve">Támogatók: The research was supported by the GINOP-2.2.1-15-2017-00039 project.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76409">
    <w:multiLevelType w:val="hybridMultilevel"/>
    <w:lvl w:ilvl="0" w:tplc="73603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76409">
    <w:abstractNumId w:val="98276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489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