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LIPPAI DORKA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ldrk@student.elte.hu</w:t>
            </w:r>
            <w:r w:rsidRPr="002361E2">
              <w:rPr>
                <w:i/>
              </w:rPr>
              <w:br/>
            </w:r>
            <w:r w:rsidR="00A96AEC">
              <w:t>Anglisztika (Kultuúra és Társadalom)</w:t>
            </w:r>
            <w:r w:rsidR="00A96AEC">
              <w:br/>
            </w:r>
            <w:r w:rsidR="00E77B23">
              <w:t>MA,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Péteri Éva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Lámpások és lámpák: szimbolizmus és kulturális sokszinűség William Holman Hunt festményeiben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William Holman Hunt festményein a lámpák és lámpások felhasználására összpontosít, valamint arra, hogy milyen jelentőséggel bírnak, ha a művész személyes meggyőződéséhez kapcsolódnak. Mind a belső megvilágosodás felé vezető figuratív utazás, mind Hunt keleti utazásának rövid áttekintése után a dolgozat Hunt három fő művére összpontosít: The Light of the World , The Finding of the Saviour in the Temple, és a The Lady of Shalott. A képek elemzése a keleti stílusú lámpák és lámpások szerepeltetésén keresztül új perspektívát nyújt Hunt vallási és kulturális toleranciájára, valamint a hithez való fejlődő kapcsolatára vonatkozóan.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362118">
    <w:multiLevelType w:val="hybridMultilevel"/>
    <w:lvl w:ilvl="0" w:tplc="292161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362118">
    <w:abstractNumId w:val="543621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73253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