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szilagyitibor12c@gmail.com</w:t>
            </w:r>
            <w:r w:rsidRPr="002361E2">
              <w:rPr>
                <w:i/>
              </w:rPr>
              <w:br/>
            </w:r>
            <w:r w:rsidR="00A96AEC">
              <w:t>magyar-történelem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Póczos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Káromkodáskultúra és nyelvi agresszió a kora újkori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történeti szociolingvisztikai, történeti szociopragmatikai, illetve leíró nyelvészeti szempontok alapján megvizsgálja a kora újkori Magyarország káromkodási szokásait, illetve azokat a szituációkat, beszédhelyzeteket, amelyekben a nyelvhasználó ezekhez a nyelvi eszközökhöz folyamodott. Az írás egyrészt integrálja az eddigi ismereteket a témában, mintegy összefoglalja a releváns szakirodalmi munkákat, másrészt újabb szempontokkal gazdagítja azokat. Erőteljes történeti és néprajzi szemléletmód segítségével a nyelvi kifejezéseket szélesebb spektrumból lehet vizsgálni. A dolgozat kitér arra, hogy miért számít/számított a korban tabunak a szexualitás, miért normasértő ez a tevékenység, hogyan függött össze a hitvilággal, a vallásossággal.</w:t>
      </w:r>
      <w:r>
        <w:rPr>
          <w:color w:val="000000"/>
          <w:sz w:val="24"/>
          <w:szCs w:val="24"/>
        </w:rPr>
        <w:br/>
        <w:t xml:space="preserve">A pályamunka igyekszik bebizonyítani azt is, hogy a káromkodás nyelvi univerzálé, a társadalom minden tagja használta a korban ezt a formulát egy-egy felfokozottabb beszédhelyzetben (perekben, vesztes csata utáni levelekben, bajvívásra hívó üzenetekben), és a szóhasználatot tekintve szinte alig volt különbség egy parasztasszony és egy nemesúr között. Mindez korpuszalapú elemzéssel kerül bemutatásra. A széleskörű forrásbázis lehetőséget adott arra, hogy a legtöbb ilyen szituációt rögzítsem. Kb. 185 település anyaga került be a korpuszba, és minden társadalmi státus reprezentálja magát az adattárban.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99394">
    <w:multiLevelType w:val="hybridMultilevel"/>
    <w:lvl w:ilvl="0" w:tplc="61072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99394">
    <w:abstractNumId w:val="10099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873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