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KEDVES ANDRÁS GYULA</w:t>
            </w:r>
          </w:p>
          <w:p w:rsidR="00C275A3" w:rsidRDefault="00186641" w:rsidP="00C275A3">
            <w:pPr>
              <w:pStyle w:val="Hallgatokepzes"/>
            </w:pPr>
            <w:r w:rsidRPr="002361E2">
              <w:rPr>
                <w:i/>
              </w:rPr>
              <w:t>kedvesandras94@gmail.com</w:t>
            </w:r>
            <w:r w:rsidRPr="002361E2">
              <w:rPr>
                <w:i/>
              </w:rPr>
              <w:br/>
            </w:r>
            <w:r w:rsidR="00A96AEC">
              <w:t>Biomedical engineer</w:t>
            </w:r>
            <w:r w:rsidR="00A96AEC">
              <w:br/>
            </w:r>
            <w:r w:rsidR="00E77B23">
              <w:t>MSc, 2. félév</w:t>
            </w:r>
          </w:p>
          <w:p w:rsidR="00C265CE" w:rsidRPr="009E5FF1" w:rsidRDefault="00E77B23" w:rsidP="009763E0">
            <w:pPr>
              <w:pStyle w:val="Hallgatointezmeny-kar"/>
              <w:rPr>
                <w:b/>
                <w:caps/>
              </w:rPr>
            </w:pPr>
            <w:r>
              <w:t>Pécsi Tudományegyetem</w:t>
            </w:r>
            <w:r w:rsidR="00C275A3">
              <w:br/>
            </w:r>
            <w:r w:rsidR="00DB4822">
              <w:t>Műszaki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Lakosi Ferenc</w:t>
            </w:r>
          </w:p>
          <w:p w:rsidR="00DB4822" w:rsidRDefault="00DB4822" w:rsidP="009763E0">
            <w:pPr>
              <w:pStyle w:val="Konzulensektitulus"/>
            </w:pPr>
            <w:r w:rsidRPr="00DB4822">
              <w:t>Osztályvezető főorvos, egyetemi docens,  1 SM KMOK Dr. Baka József Diagnosztikai, Onkoradiológiai, Kutatási és Oktatási Központ
2 PTE ETK
</w:t>
            </w:r>
          </w:p>
        </w:tc>
      </w:tr>
      <w:tr w:rsidR="00DB4822" w:rsidTr="00DB4822">
        <w:tc>
          <w:tcPr>
            <w:tcW w:w="9854" w:type="dxa"/>
          </w:tcPr>
          <w:p w:rsidR="00DB4822" w:rsidRPr="00DB4822" w:rsidRDefault="00DB4822" w:rsidP="009763E0">
            <w:pPr>
              <w:pStyle w:val="Konzulenseknev"/>
            </w:pPr>
            <w:r w:rsidRPr="00DB4822">
              <w:t>Dr. Schiffer Ádám</w:t>
            </w:r>
          </w:p>
          <w:p w:rsidR="00DB4822" w:rsidRDefault="00DB4822" w:rsidP="009763E0">
            <w:pPr>
              <w:pStyle w:val="Konzulensektitulus"/>
            </w:pPr>
            <w:r w:rsidRPr="00DB4822">
              <w:t>Egyetemi docens, PTE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mágneses rezonancia diffúzió súlyozott képalkotás prediktív értéke gépi tanulással sztereotaxiás ablatív sugárterápiával kezelt alacsony- és közepes kockázatú prosztatarákos betegeknél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Aim: To investigate the predictive value of the pre-treatment diffusion parameters of diffusion-weighted MRI using artificial intelligence (AI) for PSA response in patients with low- and intermediate-risk prostate cancer (PCa) treated with stereotactic ablative radiotherapy (SABR).</w:t>
      </w:r>
    </w:p>
    <w:p>
      <w:pPr>
        <w:widowControl w:val="on"/>
        <w:pBdr/>
        <w:spacing w:before="240" w:after="240" w:line="240" w:lineRule="auto"/>
        <w:ind w:left="0" w:right="0"/>
        <w:jc w:val="left"/>
      </w:pPr>
      <w:r>
        <w:rPr>
          <w:color w:val="000000"/>
          <w:sz w:val="24"/>
          <w:szCs w:val="24"/>
        </w:rPr>
        <w:t xml:space="preserve">Materials and methods: Retrospective evaluation was performed using pre-treatment multi-parametric MR image datasets of 40 PCa patients between 2017 and 2021. MR-based mean- and minimum apparent diffusion coefficients (ADCmean, ADCmin) were calculated for the intraprostatic dominant lesion where it was visible. Therapeutic response was assessed using prostate-specific antigen (PSA) levels. Two patient groups were created, divided by the median of the last PSA measurements. Three different prediction models, decision tree (DT), random forest (RF), and support vector machine (SVM) classiﬁers, were established. Predictive performance was assessed by the receiver operating characteristic (ROC) analysis. Spearman’s correlation and Wilcoxon’s signed-rank test were used for further statistical analysis, with a significance level of p ≤ 0.05.</w:t>
      </w:r>
    </w:p>
    <w:p>
      <w:pPr>
        <w:widowControl w:val="on"/>
        <w:pBdr/>
        <w:spacing w:before="240" w:after="240" w:line="240" w:lineRule="auto"/>
        <w:ind w:left="0" w:right="0"/>
        <w:jc w:val="left"/>
      </w:pPr>
      <w:r>
        <w:rPr>
          <w:color w:val="000000"/>
          <w:sz w:val="24"/>
          <w:szCs w:val="24"/>
        </w:rPr>
        <w:t xml:space="preserve">Results: No biochemical relapse was detected after a median follow-up of twenty-three months (range: 3–50), with a median PSA of 0.01 ng/ml (range: 0.006–2.8) at the last examination. PSA nadir has not yet been achieved in 45% of patients. Moderate negative correlations were found between ADCmean, ADCmin, and PSA nadir values (r = -0.5678, p &lt; 00001 and r = -0.5633, p &lt; 0.0001). Furthermore, significant differences were observed between the pre-treatment ADCmean, ADCmin parameters, and the group averages of patients with low and high PSA nadir measurements (p &lt; 0.0001, p &lt; 0.0001). In prediction, the RF model outperformed the DT and SVM model by yielding area under the curves (AUC), with 0.722, 0.685, and 0.5, respectively.</w:t>
      </w:r>
    </w:p>
    <w:p>
      <w:pPr>
        <w:widowControl w:val="on"/>
        <w:pBdr/>
        <w:spacing w:before="240" w:after="240" w:line="240" w:lineRule="auto"/>
        <w:ind w:left="0" w:right="0"/>
        <w:jc w:val="left"/>
      </w:pPr>
      <w:r>
        <w:rPr>
          <w:color w:val="000000"/>
          <w:sz w:val="24"/>
          <w:szCs w:val="24"/>
        </w:rPr>
        <w:t xml:space="preserve">Conclusion: Our findings suggest that pre-treatment MR diffusion data may predict therapeutic response using the novel approach of machine learning in PCa patients treated with SABR.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59723">
    <w:multiLevelType w:val="hybridMultilevel"/>
    <w:lvl w:ilvl="0" w:tplc="14597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59723">
    <w:abstractNumId w:val="106597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894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