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KMETTY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klaudiakmetty@gmail.com</w:t>
            </w:r>
            <w:r w:rsidRPr="002361E2">
              <w:rPr>
                <w:i/>
              </w:rPr>
              <w:br/>
            </w:r>
            <w:r w:rsidR="00A96AEC">
              <w:t>Magyar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Kerekes Amália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Szellem és szükségszerűség. A Hugo von Hofmannsthal háborús publicisztikája mögött kirajzolódó kultúramodell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Szellem és szükségszerűség. A Hugo von Hofmannsthal háborús publicisztikája mögött kirajzolódó kultúramodell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Hugo von Hofmannsthal első világháborús publicisztikájában a soknemzetiségű, nagyhatalmi státuszában megkérdőjelezett Osztrák-Magyar Monarchia legitimációs stratégiáját dolgozta ki, amely öröklött történelmi szerepet konstruált a Habsburg Birodalom számára. A szerző háborús publicisztikája mögött húzódó kultúramodell, amelyet Hofmannsthal a Monarchia heterogén társadalmi adottságaiból vezetett le, a szerző argumentációja szerint kiterjesztendő a háború utáni Európára.</w:t>
      </w:r>
      <w:r>
        <w:rPr>
          <w:color w:val="000000"/>
          <w:sz w:val="24"/>
          <w:szCs w:val="24"/>
        </w:rPr>
        <w:br/>
        <w:t xml:space="preserve">Dolgozatomban végigkísérem a szerző kultúramodelljének alakulását az 1914–1918 között keletkezett publicisztikáiban. Kutatásomban azt kívánom alátámasztani, hogy a Hofmannsthal-életmű recepciójában eddig kevéssé hangsúlyos szerepet kapó háborús publicisztika mind ideológiai bázisát, mind poétikai megoldásait tekintve szoros összefüggésben áll a háború előtti és utáni művekkel.</w:t>
      </w:r>
      <w:r>
        <w:rPr>
          <w:color w:val="000000"/>
          <w:sz w:val="24"/>
          <w:szCs w:val="24"/>
        </w:rPr>
        <w:br/>
        <w:t xml:space="preserve">Ennek érdekében részletesen tárgyalom Hofmannsthal viszonyát a kultúramodellben megjelenő három kultúrközösséghez (osztrák, össznémet és európai kultúrközösség), valamint bemutatom a sajtószövegekben következetesen alkalmazott poétikai eszközöket. Továbbá megvizsgálom a szövegek által felkínált olvasói pozíciókat.</w:t>
      </w:r>
      <w:r>
        <w:rPr>
          <w:color w:val="000000"/>
          <w:sz w:val="24"/>
          <w:szCs w:val="24"/>
        </w:rPr>
        <w:br/>
        <w:t xml:space="preserve">Dolgozatom interdiszciplináris megközelítésmódja új perspektívákat kínál a Hofmannsthal-recepció számára. A történelem-, anakronizmuselméleti és hadtörténeti szakmunkák bevonásával lehetőség nyílik a politikai struktúrák egzisztenciális következményeivel foglalkozó szövegek elemzésére.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80183">
    <w:multiLevelType w:val="hybridMultilevel"/>
    <w:lvl w:ilvl="0" w:tplc="50875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80183">
    <w:abstractNumId w:val="22980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639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