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RÓBERT GYULA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dudas.robert@hangadok.hu</w:t>
            </w:r>
            <w:r w:rsidRPr="002361E2">
              <w:rPr>
                <w:i/>
              </w:rPr>
              <w:br/>
            </w:r>
            <w:r w:rsidR="00A96AEC">
              <w:t>Történelem alapszakos bölcsész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Simándi Irén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Állami beavatkozás a katolikus főpapok kinevezésébe a 20. századi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katolikus egyházban a legfontosabb pozíció a püspöké. Az adott egyházmegyében ez a személy, aki lényegében mindenről dönthet, akinek joghatóságából minden más szolgálattevő feladata és jogköre származik. A püspököt a római pápa, az egyházi törvényeknek és a szokásjognak megfelelően nevezi ki, helyezi át, vagy éppen menti fel szolgálata alól. Dolgozatomban azt a kérdést vizsgáltam meg, hogy vajon a magyar állam milyen módon és módszerekkel akart beavatkozni a püspökök kinevezésének folyamatába a 20. századi Magyarországon.</w:t>
      </w:r>
      <w:r>
        <w:rPr>
          <w:color w:val="000000"/>
          <w:sz w:val="24"/>
          <w:szCs w:val="24"/>
        </w:rPr>
        <w:br/>
        <w:t xml:space="preserve">A tanulmányomban vizsgált kérdés lényegi kezdőpontja 1918. november 13-a, amikor is IV. Károly király eckartsaui nyilatkozatával Magyarországon lemondott uralkodói jogai gyakorlásától. Ezzel nem csak – gyakorlatilag – a királyi hatalom szűnt meg Magyarországon, hanem számos, a király által betöltött joghatóság gyakorlása lett kétséges, így ezen belül a főkegyúri jog, különösen ennek egy része a főpapi (püspöki, apáti, kanonoki) kinevezések kérdése.</w:t>
      </w:r>
      <w:r>
        <w:rPr>
          <w:color w:val="000000"/>
          <w:sz w:val="24"/>
          <w:szCs w:val="24"/>
        </w:rPr>
        <w:br/>
        <w:t xml:space="preserve">A dolgozatban vizsgált kérdés a főkegyúri jog (ius supremae patronatus) körül forog, hiszen ez volt az a történelmi szokásjog, amely alapján a mindenkori magyar uralkodó erősebben, vagy kevésbé, de magához vonhatta a kinevezési, valamint az egyházszervezési kérdéseket, s ez volt az a jog, melyre – valósan, vagy áttételesen – IV. Károly visszavonulása után hivatkoztak Róma felé, sőt áttételesen ez alapján még 1987-ben is beavatkozott a kommunista magyar állam az egyház belső kérdéseibe.</w:t>
      </w:r>
      <w:r>
        <w:rPr>
          <w:color w:val="000000"/>
          <w:sz w:val="24"/>
          <w:szCs w:val="24"/>
        </w:rPr>
        <w:br/>
        <w:t xml:space="preserve">Írásomban megvizsgáltam a magyarországi püspökkinevezések kérdésének problematikáját, a király nélküli királyság alatti próbálkozásokat a főkegyúri jog gyakorlására, illetve a szocializmus évtizedei alatti módszereket és állami kísérleteket a katolikus egyház mindennapjainak és vezető személyiségeinek meghatározására, valamint a „szocialista főkegyúri jog” bevezetésére.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61827">
    <w:multiLevelType w:val="hybridMultilevel"/>
    <w:lvl w:ilvl="0" w:tplc="20861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61827">
    <w:abstractNumId w:val="948618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38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