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KRISZTINA PRÉGLER </w:t>
            </w:r>
          </w:p>
          <w:p w:rsidR="00C275A3" w:rsidRDefault="00186641" w:rsidP="00C275A3">
            <w:pPr>
              <w:pStyle w:val="Hallgatokepzes"/>
            </w:pPr>
            <w:r w:rsidRPr="002361E2">
              <w:rPr>
                <w:i/>
              </w:rPr>
              <w:t>preglerkriszti@gmail.com</w:t>
            </w:r>
            <w:r w:rsidRPr="002361E2">
              <w:rPr>
                <w:i/>
              </w:rPr>
              <w:br/>
            </w:r>
            <w:r w:rsidR="00A96AEC">
              <w:t> Finance and Accounting</w:t>
            </w:r>
            <w:r w:rsidR="00A96AEC">
              <w:br/>
            </w:r>
            <w:r w:rsidR="00E77B23">
              <w:t>BA, 6.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Tamás Kovács</w:t>
            </w:r>
          </w:p>
          <w:p w:rsidR="00DB4822" w:rsidRDefault="00DB4822" w:rsidP="009763E0">
            <w:pPr>
              <w:pStyle w:val="Konzulensektitulus"/>
            </w:pPr>
            <w:r w:rsidRPr="00DB4822">
              <w:t>Associate Professor, SOE LKK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the efficiency of Pénz7 in secondary schools in Sopron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Financial knowledge, awareness and education are essential for a society whose members want to live competently, confidently and future-oriented in the everyday economic and financial world. However, the possession of these qualities is not only important among the adult population, what's more, introducing the younger generations to the elements of financial culture as soon as possible can initiate unique changes in the society and economy of a country. For this, one thing needs to be started as soon as possible: the financial education of young people.</w:t>
      </w:r>
      <w:r>
        <w:rPr>
          <w:color w:val="000000"/>
          <w:sz w:val="24"/>
          <w:szCs w:val="24"/>
        </w:rPr>
        <w:br/>
        <w:t xml:space="preserve">In preparing the research, I had a two-fold goal: first, to assess the degree of effectiveness of Pénzügyi és Vállalkozói Témahét (Pénz7) educational program series organized among primary and secondary school students in terms of how participation in the lectures and classes affects the existing financial knowledge and, in particular, related to the theme week and to what extent it contributes to its development. In addition, I searched for the answer to the question whether Pénz7 helps the development of general financial literacy.</w:t>
      </w:r>
      <w:r>
        <w:rPr>
          <w:color w:val="000000"/>
          <w:sz w:val="24"/>
          <w:szCs w:val="24"/>
        </w:rPr>
        <w:br/>
        <w:t xml:space="preserve">During the preparation of my thesis, I examined in detail the financial culture itself, its definition possibilities, the state and institutional efforts to develop it, and its level of development in Hungary. I examined the latter two topics specifically from the perspective of students studying in secondary education institutions. For all this, I used document analysis, which secondary research was supplemented by a two-round survey and a teacher questionnaire, with which I arrived at specific figures regarding the effectiveness and conditions of Pénz7, which I conducted exclusively among high school students and their teachers in Sopron.</w:t>
      </w:r>
      <w:r>
        <w:rPr>
          <w:color w:val="000000"/>
          <w:sz w:val="24"/>
          <w:szCs w:val="24"/>
        </w:rPr>
        <w:br/>
        <w:t xml:space="preserve">During the survey, I collected responses from nearly 400 secondary school students in Sopron in the first round, and nearly 220 in the second round, and then made calculations and analyzes from these data. During the evaluation, the neutral effect of Pénz7 on students' financial knowledge was confirmed. The high school students in Sopron did not properly integrate what they learned and heard at the event into their existing knowledge, or the targeted program did not meet the students' needs; and their general financial knowledge and education remained at the same level as before Pénz7. At the same time, the ability of the program to attract attention, generate interest and help with career orientation should not be disputed.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37899">
    <w:multiLevelType w:val="hybridMultilevel"/>
    <w:lvl w:ilvl="0" w:tplc="96536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37899">
    <w:abstractNumId w:val="72937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919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