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KATA HORVÁTH</w:t>
            </w:r>
          </w:p>
          <w:p w:rsidR="00C275A3" w:rsidRDefault="00186641" w:rsidP="00C275A3">
            <w:pPr>
              <w:pStyle w:val="Hallgatokepzes"/>
            </w:pPr>
            <w:r w:rsidRPr="002361E2">
              <w:rPr>
                <w:i/>
              </w:rPr>
              <w:t>horv.kata2@gmail.com</w:t>
            </w:r>
            <w:r w:rsidRPr="002361E2">
              <w:rPr>
                <w:i/>
              </w:rPr>
              <w:br/>
            </w:r>
            <w:r w:rsidR="00A96AEC">
              <w:t>economics in commerce and marketing</w:t>
            </w:r>
            <w:r w:rsidR="00A96AEC">
              <w:br/>
            </w:r>
            <w:r w:rsidR="00E77B23">
              <w:t>BA, 4.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Dávid Paár</w:t>
            </w:r>
          </w:p>
          <w:p w:rsidR="00DB4822" w:rsidRDefault="00DB4822" w:rsidP="009763E0">
            <w:pPr>
              <w:pStyle w:val="Konzulensektitulus"/>
            </w:pPr>
            <w:r w:rsidRPr="00DB4822">
              <w:t>associate professor, SOE LKK</w:t>
            </w:r>
          </w:p>
        </w:tc>
      </w:tr>
      <w:tr w:rsidR="00DB4822" w:rsidTr="00DB4822">
        <w:tc>
          <w:tcPr>
            <w:tcW w:w="9854" w:type="dxa"/>
          </w:tcPr>
          <w:p w:rsidR="00DB4822" w:rsidRPr="00DB4822" w:rsidRDefault="00DB4822" w:rsidP="009763E0">
            <w:pPr>
              <w:pStyle w:val="Konzulenseknev"/>
            </w:pPr>
            <w:r w:rsidRPr="00DB4822">
              <w:t>Dr. Tamás Pirger</w:t>
            </w:r>
          </w:p>
          <w:p w:rsidR="00DB4822" w:rsidRDefault="00DB4822" w:rsidP="009763E0">
            <w:pPr>
              <w:pStyle w:val="Konzulensektitulus"/>
            </w:pPr>
            <w:r w:rsidRPr="00DB4822">
              <w:t>senior lecturer, SOE LKK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Brands at war or brands of war? – A marketing communication approach of exiting as a CSR activity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relevance of the choice of topic is confirmed by the fact that a new and unusual form of social responsibility is withdrawing from the market. In connection with the Ukrainian-Russian conflict that has broken out in 2022, many brands have applied more or less restrictions in connection with their business activities in Russia. As a result of these steps, significant changes occurred in the lives of consumers as well as in the corporate sphere. Such CSR activities are based on the goal of isolation from war, as well as other, non-sustainable economic reasons. I approach social responsibility from a marketing communication point of view, based on these I examine the changes in consumer behavior as well as companies related to the image of withdrawn companies.</w:t>
      </w:r>
      <w:r>
        <w:rPr>
          <w:color w:val="000000"/>
          <w:sz w:val="24"/>
          <w:szCs w:val="24"/>
        </w:rPr>
        <w:br/>
        <w:t xml:space="preserve">In the secondary research of my thesis, I present the development of CSR activities, their types and areas. After that, I explain the advantages and disadvantages of social responsibility, as well as the criticisms of it, and I also describe its role as a marketing communication and PR tool. I trace the development and ideologies of the war as a social phenomenon, then move on to the specifics of the Ukrainian-Russian conflict and present its financial, commercial, and economic consequences. Finally, general brand perception, the advantages of stable branding, and the relationship between brands and consumers are included at the end of my secondary research.</w:t>
      </w:r>
      <w:r>
        <w:rPr>
          <w:color w:val="000000"/>
          <w:sz w:val="24"/>
          <w:szCs w:val="24"/>
        </w:rPr>
        <w:br/>
        <w:t xml:space="preserve">I conducted my primary research with the help of an online questionnaire. With the help of this, I assessed the changes in purchase habits as a result of withdrawal; consumers' level of information and sources of information; and the degree of agreement with withdrawal behavior. During the contingency table analysis tests, I compared the aforementioned assessed factors with demographic data and examined the strength of the relationships between the variables.</w:t>
      </w:r>
      <w:r>
        <w:rPr>
          <w:color w:val="000000"/>
          <w:sz w:val="24"/>
          <w:szCs w:val="24"/>
        </w:rPr>
        <w:br/>
        <w:t xml:space="preserve">My results showed that there was no change in consumer behavior as a result of the restrictions introduced by the companies. In terms of gender, there were differences in awareness of the topic, while no significant difference emerged in the breakdown by generation. I found that the number of people informed about their withdrawal increases in proportion to the weight of the restrictions introduced by global brands, to which the cases of substitute products are an exception. Knowing this informations, I formulated my suggestions and conclusions at the end of the 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21079">
    <w:multiLevelType w:val="hybridMultilevel"/>
    <w:lvl w:ilvl="0" w:tplc="96538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21079">
    <w:abstractNumId w:val="318210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9560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