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D.NAGY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d.nagyfruzsina@gmail.com</w:t>
            </w:r>
            <w:r w:rsidRPr="001067CD">
              <w:rPr>
                <w:i/>
              </w:rPr>
              <w:br/>
            </w:r>
            <w:r w:rsidR="00A96AEC">
              <w:t>kémia-matematika osztatlan tanári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Peintler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Kutus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Ca(II)-glükonát-hidroxid komplexek kimutatása és egyensúlyi leírása oldhatósági mérésekkel tömény lúgoldatokban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komplexkémia; hiperalkalikus oldatok; egyensúlyi leírás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munkámat az SZTE Anyag- és Oldatszerkezeti Kutatócsoportjában</w:t>
      </w:r>
      <w:r>
        <w:rPr>
          <w:color w:val="000000"/>
          <w:sz w:val="24"/>
          <w:szCs w:val="24"/>
        </w:rPr>
        <w:br/>
        <w:t xml:space="preserve">végeztem, ahol több, mint tíz éve folynak egyensúlyi vizsgálatok tömény</w:t>
      </w:r>
      <w:r>
        <w:rPr>
          <w:color w:val="000000"/>
          <w:sz w:val="24"/>
          <w:szCs w:val="24"/>
        </w:rPr>
        <w:br/>
        <w:t xml:space="preserve">lúgoldatokban (1–4 M). A csoport egyik kutatási területe az ipari szempontból jelentős</w:t>
      </w:r>
      <w:r>
        <w:rPr>
          <w:color w:val="000000"/>
          <w:sz w:val="24"/>
          <w:szCs w:val="24"/>
        </w:rPr>
        <w:br/>
        <w:t xml:space="preserve">elektrolitoldatokban képződő komplex részecskék tanulmányozása; ehhez</w:t>
      </w:r>
      <w:r>
        <w:rPr>
          <w:color w:val="000000"/>
          <w:sz w:val="24"/>
          <w:szCs w:val="24"/>
        </w:rPr>
        <w:br/>
        <w:t xml:space="preserve">kapcsolódóan végeztem oldhatósági vizsgálatokat kalcium(II)- és glükonátionokat</w:t>
      </w:r>
      <w:r>
        <w:rPr>
          <w:color w:val="000000"/>
          <w:sz w:val="24"/>
          <w:szCs w:val="24"/>
        </w:rPr>
        <w:br/>
        <w:t xml:space="preserve">tartalmazó rendszerekben, 4 M ionerősségen.</w:t>
      </w:r>
      <w:r>
        <w:rPr>
          <w:color w:val="000000"/>
          <w:sz w:val="24"/>
          <w:szCs w:val="24"/>
        </w:rPr>
        <w:br/>
        <w:t xml:space="preserve">Hasonló összetételű, tömény oldatokkal a kutatócsoport régóta foglalkozik, az első</w:t>
      </w:r>
      <w:r>
        <w:rPr>
          <w:color w:val="000000"/>
          <w:sz w:val="24"/>
          <w:szCs w:val="24"/>
        </w:rPr>
        <w:br/>
        <w:t xml:space="preserve">közleményt [1] több, mint két tucat követte nemzetközi folyóiratokban. Ezek közös</w:t>
      </w:r>
      <w:r>
        <w:rPr>
          <w:color w:val="000000"/>
          <w:sz w:val="24"/>
          <w:szCs w:val="24"/>
        </w:rPr>
        <w:br/>
        <w:t xml:space="preserve">jellemzője, hogy kvantitatív adatokat elsősorban pH-potenciometriás vizsgálatok</w:t>
      </w:r>
      <w:r>
        <w:rPr>
          <w:color w:val="000000"/>
          <w:sz w:val="24"/>
          <w:szCs w:val="24"/>
        </w:rPr>
        <w:br/>
        <w:t xml:space="preserve">révén nyertünk, a többi módszer kvalitatív (néha félkvantitatív) információkkal</w:t>
      </w:r>
      <w:r>
        <w:rPr>
          <w:color w:val="000000"/>
          <w:sz w:val="24"/>
          <w:szCs w:val="24"/>
        </w:rPr>
        <w:br/>
        <w:t xml:space="preserve">szolgált. A méréseket minden esetben csak olyan egyensúlyi modellek tudták leírni,</w:t>
      </w:r>
      <w:r>
        <w:rPr>
          <w:color w:val="000000"/>
          <w:sz w:val="24"/>
          <w:szCs w:val="24"/>
        </w:rPr>
        <w:br/>
        <w:t xml:space="preserve">amelyek bonyolult összetételű, többmagvú részecské(ke)t tartalmaznak. Ezen általános</w:t>
      </w:r>
      <w:r>
        <w:rPr>
          <w:color w:val="000000"/>
          <w:sz w:val="24"/>
          <w:szCs w:val="24"/>
        </w:rPr>
        <w:br/>
        <w:t xml:space="preserve">megfigyelés igazolása céljából kezdünk bele oldhatósági mérésekbe. Ez a módszer</w:t>
      </w:r>
      <w:r>
        <w:rPr>
          <w:color w:val="000000"/>
          <w:sz w:val="24"/>
          <w:szCs w:val="24"/>
        </w:rPr>
        <w:br/>
        <w:t xml:space="preserve">kísérleti szempontból ugyan jóval időigényesebb, de két előnnyel bír a pH-</w:t>
      </w:r>
      <w:r>
        <w:rPr>
          <w:color w:val="000000"/>
          <w:sz w:val="24"/>
          <w:szCs w:val="24"/>
        </w:rPr>
        <w:br/>
        <w:t xml:space="preserve">potenciometriához képest: (1) kiterjeszthető a vizsgálható koncentrációtartomány,</w:t>
      </w:r>
      <w:r>
        <w:rPr>
          <w:color w:val="000000"/>
          <w:sz w:val="24"/>
          <w:szCs w:val="24"/>
        </w:rPr>
        <w:br/>
        <w:t xml:space="preserve">valamint (2) közvetlenebb koncentrációadatok határozhatók meg, a kísérleti adatok</w:t>
      </w:r>
      <w:r>
        <w:rPr>
          <w:color w:val="000000"/>
          <w:sz w:val="24"/>
          <w:szCs w:val="24"/>
        </w:rPr>
        <w:br/>
        <w:t xml:space="preserve">ábrái könnyebben értelmezhetőek.</w:t>
      </w:r>
      <w:r>
        <w:rPr>
          <w:color w:val="000000"/>
          <w:sz w:val="24"/>
          <w:szCs w:val="24"/>
        </w:rPr>
        <w:br/>
        <w:t xml:space="preserve">A dolgozatban részletezett munkám két kérdésre keresi a választ: (1) Az</w:t>
      </w:r>
      <w:r>
        <w:rPr>
          <w:color w:val="000000"/>
          <w:sz w:val="24"/>
          <w:szCs w:val="24"/>
        </w:rPr>
        <w:br/>
        <w:t xml:space="preserve">oldhatósági adatok értelmezése is szükségessé teszi-e összetett részecskék</w:t>
      </w:r>
      <w:r>
        <w:rPr>
          <w:color w:val="000000"/>
          <w:sz w:val="24"/>
          <w:szCs w:val="24"/>
        </w:rPr>
        <w:br/>
        <w:t xml:space="preserve">feltételezését? (2) A korábbi vizsgálatokban valószínűsített részecskék elegendőek-e a</w:t>
      </w:r>
      <w:r>
        <w:rPr>
          <w:color w:val="000000"/>
          <w:sz w:val="24"/>
          <w:szCs w:val="24"/>
        </w:rPr>
        <w:br/>
        <w:t xml:space="preserve">nagyobb koncentrációtartomány kvantitatív leírására, vagy több részecskére van</w:t>
      </w:r>
      <w:r>
        <w:rPr>
          <w:color w:val="000000"/>
          <w:sz w:val="24"/>
          <w:szCs w:val="24"/>
        </w:rPr>
        <w:br/>
        <w:t xml:space="preserve">szükség?</w:t>
      </w:r>
      <w:r>
        <w:rPr>
          <w:color w:val="000000"/>
          <w:sz w:val="24"/>
          <w:szCs w:val="24"/>
        </w:rPr>
        <w:br/>
        <w:t xml:space="preserve">Az előzmények összefoglalása után részletezem azt a négy kísérletsorozatot,</w:t>
      </w:r>
      <w:r>
        <w:rPr>
          <w:color w:val="000000"/>
          <w:sz w:val="24"/>
          <w:szCs w:val="24"/>
        </w:rPr>
        <w:br/>
        <w:t xml:space="preserve">amelyeket a fenti kérdések megválaszolására terveztem, hajtottam végre és értékeltem</w:t>
      </w:r>
      <w:r>
        <w:rPr>
          <w:color w:val="000000"/>
          <w:sz w:val="24"/>
          <w:szCs w:val="24"/>
        </w:rPr>
        <w:br/>
        <w:t xml:space="preserve">ki. Részletezem a kérdéses egyensúlyi rendszer matematikai modelljét is. Ezen</w:t>
      </w:r>
      <w:r>
        <w:rPr>
          <w:color w:val="000000"/>
          <w:sz w:val="24"/>
          <w:szCs w:val="24"/>
        </w:rPr>
        <w:br/>
        <w:t xml:space="preserve">mérések és számítások mindegyike azt mutatja, hogy a vizsgált rendszerek egyensúlyi</w:t>
      </w:r>
      <w:r>
        <w:rPr>
          <w:color w:val="000000"/>
          <w:sz w:val="24"/>
          <w:szCs w:val="24"/>
        </w:rPr>
        <w:br/>
        <w:t xml:space="preserve">leírása nem igényel a korábbi cikkekben leírtaknál bonyolultabb modellt.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Pallagi A., Tasi Á., Gácsi A., Cent. Eur. J. Chem.,10(2), 332–337 (2012)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86377">
    <w:multiLevelType w:val="hybridMultilevel"/>
    <w:lvl w:ilvl="0" w:tplc="85498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86377">
    <w:abstractNumId w:val="97586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494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