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BURÁNSZKI JÓZSEF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jozsi0414@gmail.com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Gyurcsik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Hajdu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segédmunkatárs,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Cinkujj-ATCUN mesterséges nukleázok optimalizálása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cinkujj fehérje; ATCUN-motívum, DNS hasítás, gélelektroforézis; Cirkuláris Dikroizmus spektroszkópia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Egyre nagyobb jelentőséget tulajdonítanak a genetikai eredetű és daganatos</w:t>
      </w:r>
      <w:r>
        <w:rPr>
          <w:color w:val="000000"/>
          <w:sz w:val="24"/>
          <w:szCs w:val="24"/>
        </w:rPr>
        <w:br/>
        <w:t xml:space="preserve">betegségek gyógyításának, az ezzel foglalkozó kutatások száma napjainkban is</w:t>
      </w:r>
      <w:r>
        <w:rPr>
          <w:color w:val="000000"/>
          <w:sz w:val="24"/>
          <w:szCs w:val="24"/>
        </w:rPr>
        <w:br/>
        <w:t xml:space="preserve">folyamatosan nő. Ezen célokra alkalmasak lehetnek a mesterséges nukleázok,</w:t>
      </w:r>
      <w:r>
        <w:rPr>
          <w:color w:val="000000"/>
          <w:sz w:val="24"/>
          <w:szCs w:val="24"/>
        </w:rPr>
        <w:br/>
        <w:t xml:space="preserve">melyekkel egy tetszőlegesen kiválasztott DNS-szekvencia hasítható el, és így a hibás</w:t>
      </w:r>
      <w:r>
        <w:rPr>
          <w:color w:val="000000"/>
          <w:sz w:val="24"/>
          <w:szCs w:val="24"/>
        </w:rPr>
        <w:br/>
        <w:t xml:space="preserve">DNS szakasz kiiktatható. Kutatócsoportunk több éve foglalkozik metallonukleázok</w:t>
      </w:r>
      <w:r>
        <w:rPr>
          <w:color w:val="000000"/>
          <w:sz w:val="24"/>
          <w:szCs w:val="24"/>
        </w:rPr>
        <w:br/>
        <w:t xml:space="preserve">fejlesztésével és vizsgálatával. Egyik koncepciónk szerint a DNS-t cinkujj alegységek</w:t>
      </w:r>
      <w:r>
        <w:rPr>
          <w:color w:val="000000"/>
          <w:sz w:val="24"/>
          <w:szCs w:val="24"/>
        </w:rPr>
        <w:br/>
        <w:t xml:space="preserve">ismerik fel specifikusan, míg a hasításért a fehérje N-terminális végén található</w:t>
      </w:r>
      <w:r>
        <w:rPr>
          <w:color w:val="000000"/>
          <w:sz w:val="24"/>
          <w:szCs w:val="24"/>
        </w:rPr>
        <w:br/>
        <w:t xml:space="preserve">ATCUN motívum felelős [1]. Korábban csoportunk sikeresen állított elő egy ilyen</w:t>
      </w:r>
      <w:r>
        <w:rPr>
          <w:color w:val="000000"/>
          <w:sz w:val="24"/>
          <w:szCs w:val="24"/>
        </w:rPr>
        <w:br/>
        <w:t xml:space="preserve">potenciális metallonukleázt (1MEY#.1), amivel sikerült in-vitro DNS hasítást</w:t>
      </w:r>
      <w:r>
        <w:rPr>
          <w:color w:val="000000"/>
          <w:sz w:val="24"/>
          <w:szCs w:val="24"/>
        </w:rPr>
        <w:br/>
        <w:t xml:space="preserve">kimutatni mérsékelt aktivitással és szelektivitással [2].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során az 1MEY#.1 fehérje olyan módosított verzióit</w:t>
      </w:r>
      <w:r>
        <w:rPr>
          <w:color w:val="000000"/>
          <w:sz w:val="24"/>
          <w:szCs w:val="24"/>
        </w:rPr>
        <w:br/>
        <w:t xml:space="preserve">tanulmányoztam, amelyekkel reményeink szerint fokozható a nukleáz aktivitás és</w:t>
      </w:r>
      <w:r>
        <w:rPr>
          <w:color w:val="000000"/>
          <w:sz w:val="24"/>
          <w:szCs w:val="24"/>
        </w:rPr>
        <w:br/>
        <w:t xml:space="preserve">specifitás. Ezekben a fehérjékben a cinkujj és az ATCUN motívum közötti távolságot,</w:t>
      </w:r>
      <w:r>
        <w:rPr>
          <w:color w:val="000000"/>
          <w:sz w:val="24"/>
          <w:szCs w:val="24"/>
        </w:rPr>
        <w:br/>
        <w:t xml:space="preserve">illetve a linker szekvenciában lévő aminosavak töltését változtattuk meg. A fehérjék</w:t>
      </w:r>
      <w:r>
        <w:rPr>
          <w:color w:val="000000"/>
          <w:sz w:val="24"/>
          <w:szCs w:val="24"/>
        </w:rPr>
        <w:br/>
        <w:t xml:space="preserve">előállítása után szerkezetük épségének ellenőrzésével kezdtem a vizsgálatot CD-</w:t>
      </w:r>
      <w:r>
        <w:rPr>
          <w:color w:val="000000"/>
          <w:sz w:val="24"/>
          <w:szCs w:val="24"/>
        </w:rPr>
        <w:br/>
        <w:t xml:space="preserve">spektroszkópiával. Azon mutánsok esetében, melyeknél a fehérjét felépítő aminosavak</w:t>
      </w:r>
      <w:r>
        <w:rPr>
          <w:color w:val="000000"/>
          <w:sz w:val="24"/>
          <w:szCs w:val="24"/>
        </w:rPr>
        <w:br/>
        <w:t xml:space="preserve">oxidációját feltételeztem, redukálással állítottam vissza a szerkezetet. A részben</w:t>
      </w:r>
      <w:r>
        <w:rPr>
          <w:color w:val="000000"/>
          <w:sz w:val="24"/>
          <w:szCs w:val="24"/>
        </w:rPr>
        <w:br/>
        <w:t xml:space="preserve">fragmentálódott 1MEY#.1-verziókat újból előállítottam és tisztítottam. Ezen</w:t>
      </w:r>
      <w:r>
        <w:rPr>
          <w:color w:val="000000"/>
          <w:sz w:val="24"/>
          <w:szCs w:val="24"/>
        </w:rPr>
        <w:br/>
        <w:t xml:space="preserve">folyamatokat tricin-SDS-poliakrilamid-gélelektroforézissel követtem.</w:t>
      </w:r>
      <w:r>
        <w:rPr>
          <w:color w:val="000000"/>
          <w:sz w:val="24"/>
          <w:szCs w:val="24"/>
        </w:rPr>
        <w:br/>
        <w:t xml:space="preserve">A sikeresen előállított tíz 1MEY#.1-mutáns másodlagos szerkezeti elemeinek</w:t>
      </w:r>
      <w:r>
        <w:rPr>
          <w:color w:val="000000"/>
          <w:sz w:val="24"/>
          <w:szCs w:val="24"/>
        </w:rPr>
        <w:br/>
        <w:t xml:space="preserve">összetételét CD-spektrumaik értékelésével határoztam meg, a fehérjeszekvencia</w:t>
      </w:r>
      <w:r>
        <w:rPr>
          <w:color w:val="000000"/>
          <w:sz w:val="24"/>
          <w:szCs w:val="24"/>
        </w:rPr>
        <w:br/>
        <w:t xml:space="preserve">épségét, valamint a Zn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 és Ni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-fémionok bekötődését ESI-MS mérésekkel igazoltam.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1MEY#.1 fehérje esetén a DNS-hasításért felelős ATCUN-motívumból EDTA</w:t>
      </w:r>
      <w:r>
        <w:rPr>
          <w:color w:val="000000"/>
          <w:sz w:val="24"/>
          <w:szCs w:val="24"/>
        </w:rPr>
        <w:br/>
        <w:t xml:space="preserve">kelátorral eltávolítottam a Ni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-iont, és Cu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-ionnal helyettesítettem azt, a cserét ESI-</w:t>
      </w:r>
      <w:r>
        <w:rPr>
          <w:color w:val="000000"/>
          <w:sz w:val="24"/>
          <w:szCs w:val="24"/>
        </w:rPr>
        <w:br/>
        <w:t xml:space="preserve">MS mérésekkel igazoltam. A Cu(II)-komplex szerkezeti stabilitását CD-</w:t>
      </w:r>
      <w:r>
        <w:rPr>
          <w:color w:val="000000"/>
          <w:sz w:val="24"/>
          <w:szCs w:val="24"/>
        </w:rPr>
        <w:br/>
        <w:t xml:space="preserve">spektroszkópiás méréssel igazoltam. Továbbá megkezdtem a cinkujj-fehérjék nukleáz</w:t>
      </w:r>
      <w:r>
        <w:rPr>
          <w:color w:val="000000"/>
          <w:sz w:val="24"/>
          <w:szCs w:val="24"/>
        </w:rPr>
        <w:br/>
        <w:t xml:space="preserve">aktivitási tesztjeit, a reakciók lejátszódását agaróz gélelektroforézissel követve.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[1] Eric C. Long, Acc. Chem. Res., 32 (10), 827-836 (1999)</w:t>
      </w:r>
      <w:r>
        <w:rPr>
          <w:color w:val="000000"/>
          <w:sz w:val="24"/>
          <w:szCs w:val="24"/>
        </w:rPr>
        <w:br/>
        <w:t xml:space="preserve">[2] A. Belczyk-Ciesielska, B. Csipak, B. Hajdu, A. Sparavier, M. N. Asaka, K. Nagata, B.</w:t>
      </w:r>
      <w:r>
        <w:rPr>
          <w:color w:val="000000"/>
          <w:sz w:val="24"/>
          <w:szCs w:val="24"/>
        </w:rPr>
        <w:br/>
        <w:t xml:space="preserve">Gyurcsik, W. Bal, Metallomics, 10 (8), 1089-1098 (2018)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052297">
    <w:multiLevelType w:val="hybridMultilevel"/>
    <w:lvl w:ilvl="0" w:tplc="59120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052297">
    <w:abstractNumId w:val="990522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09932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