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DABIS MARCELL</w:t>
            </w:r>
          </w:p>
          <w:p w:rsidR="00C275A3" w:rsidRDefault="00186641" w:rsidP="00C275A3">
            <w:pPr>
              <w:pStyle w:val="Hallgatokepzes"/>
            </w:pPr>
            <w:r w:rsidRPr="002361E2">
              <w:rPr>
                <w:i/>
              </w:rPr>
              <w:t>dabis.marcell529@gmail.com</w:t>
            </w:r>
            <w:r w:rsidRPr="002361E2">
              <w:rPr>
                <w:i/>
              </w:rPr>
              <w:br/>
            </w:r>
            <w:r w:rsidR="00A96AEC">
              <w:t>Matematika</w:t>
            </w:r>
            <w:r w:rsidR="00A96AEC">
              <w:br/>
            </w:r>
            <w:r w:rsidR="00E77B23">
              <w:t>BSc, 5.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Vizi Zsolt</w:t>
            </w:r>
          </w:p>
          <w:p w:rsidR="00DB4822" w:rsidRDefault="00DB4822" w:rsidP="009763E0">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Graph Representation for Modelling Flood Waves in Time Series Data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Ebben a munkában a Tiszán levonuló árhullámot úgy tekintjük, mint a folyó mentén egymást követő árvizi vízmércéken mért tetőzéseinek sorozatát. Ez azt jelenti, hogy a mérőpontok folyamkilométer szerint rendezett idősoros adatait kell vizsgálnunk, és olyan csúcsértékeket kell keresnünk, amelyek mind térben, mind időben közel vannak egymáshoz. Az első kísérletet az árhullámok hasonló formalizmust alkalmazó elemzésére Vágás tette, lásd [1]. A javasolt matematikai modell lehetővé teszi egy árhullám levonulási idejének vagy hidraulikus gradiensének vizsgálatát, így hasznos leírásokkal támogathatjuk a folyószabályozással kapcsolatos döntéshozatalt.</w:t>
      </w:r>
    </w:p>
    <w:p>
      <w:pPr>
        <w:widowControl w:val="on"/>
        <w:pBdr/>
        <w:spacing w:before="240" w:after="240" w:line="240" w:lineRule="auto"/>
        <w:ind w:left="0" w:right="0"/>
        <w:jc w:val="left"/>
      </w:pPr>
      <w:r>
        <w:rPr>
          <w:color w:val="000000"/>
          <w:sz w:val="24"/>
          <w:szCs w:val="24"/>
        </w:rPr>
        <w:t xml:space="preserve">Ebben a dolgozatban a probléma modellezéséhez egy gráfreprezentációt javasolunk. Meghatározzuk, mikor nevezünk egy vízszintbeli tetőzési értéket csúcsértéknek, amelyek lehetővé teszik a gráf csúcshalmazának bevezetését. Ezután leírjuk a köztük lévő élek behúzásának szabályait mind a geológiai, mind az időbeli korlátozások alapján, és ezekből egy irányított gráfot definiálunk. Az árhullámokat egy speciális részgráfnak tekintjük, emellett a konstrukcióra felírunk néhány általánosan érvényes állítást. Az elemzések során definiáljuk két adott mérési pont közötti árhullámok számát és az árhullámok levonulási idejét, és összevetjük az eredményeket a [2] tanulmány megállapításaival.</w:t>
      </w:r>
    </w:p>
    <w:p>
      <w:pPr>
        <w:widowControl w:val="on"/>
        <w:pBdr/>
        <w:spacing w:before="240" w:after="240" w:line="240" w:lineRule="auto"/>
        <w:ind w:left="0" w:right="0"/>
        <w:jc w:val="left"/>
      </w:pPr>
      <w:r>
        <w:rPr>
          <w:color w:val="000000"/>
          <w:sz w:val="24"/>
          <w:szCs w:val="24"/>
        </w:rPr>
        <w:t xml:space="preserve">A matematikai modell implementációját részletesen ismertetjük, a kódot Python nyelven az alapoktól felépítve, objektumorientált módon írtuk, a keretrendszer futtatására és a dolgozatban bemutatott ábrák generálására pedig Jupyter notebook környezetet használunk. Ez a kutatás a Bolyai Intézet és a Alsó-Tisza-vidéki Vízügyi Igazgatóság (röviden ATIVIZIG) között jelenleg is folyó együttműködés része, így a kód nem nyilvános, de kérésre megosztásra kerül a bírálóval.</w:t>
      </w:r>
    </w:p>
    <w:p>
      <w:pPr>
        <w:widowControl w:val="on"/>
        <w:pBdr/>
        <w:spacing w:before="240" w:after="240" w:line="240" w:lineRule="auto"/>
        <w:ind w:left="0" w:right="0"/>
        <w:jc w:val="left"/>
      </w:pPr>
      <w:r>
        <w:rPr>
          <w:color w:val="000000"/>
          <w:sz w:val="24"/>
          <w:szCs w:val="24"/>
        </w:rPr>
        <w:t xml:space="preserve">[1] István Vágás. A Tisza ́arvizei. VIZDOK. (1982)</w:t>
      </w:r>
      <w:r>
        <w:rPr>
          <w:color w:val="000000"/>
          <w:sz w:val="24"/>
          <w:szCs w:val="24"/>
        </w:rPr>
        <w:br/>
        <w:t xml:space="preserve">[2] Tímea Kiss, Károly Fiala, and György Sipos. Alterations of channel parameters in response to river regulation works since 1840 on the lower tisza river (hungary). Geomorphology, 98(1-2), 2008.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61493">
    <w:multiLevelType w:val="hybridMultilevel"/>
    <w:lvl w:ilvl="0" w:tplc="53328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61493">
    <w:abstractNumId w:val="59761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6536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