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FLAISZ DOMINIKA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dominikaflaisz@gmail.com</w:t>
            </w:r>
            <w:r w:rsidRPr="002361E2">
              <w:rPr>
                <w:i/>
              </w:rPr>
              <w:br/>
            </w:r>
            <w:r w:rsidR="00A96AEC">
              <w:t>Biológus MSc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Gácser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Németh Tibor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CRISPR/Cas9 genomszerkesztési eljárás jellemzése Candida parapsilosis modellszervezetben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évtizedekben egyre több tanulmány koncentrál a Candida fajok tanulmányozására, mivel az általuk okozott szisztémás candidiasis (candidaemia) egy nagyon súlyos, életveszélyes állapot, amely többségéért a nemzettség hat tagja tehető felelőssé, ezek a C. albicans, C. parapsilosis, C.glabrata, C. tropicalis, C. krusei és a C. auris fajok.</w:t>
      </w:r>
      <w:r>
        <w:rPr>
          <w:color w:val="000000"/>
          <w:sz w:val="24"/>
          <w:szCs w:val="24"/>
        </w:rPr>
        <w:br/>
        <w:t xml:space="preserve">Kutatócsoportunk a C. parapsilosis fiziológiai tulajdonságainak, virulenciájának, valamint a kiváltott immunválasz vizsgálatával, jellemzésével foglalkozik. Egy gén funkciójának vizsgálatához elengedhetetlen egy gyors, hatékony és nukleotid pontosságú módosításokat lehetővé tevő génszerkesztési eljárás. Az elmúlt évtizedben kezdett elterjedni a prokarióták adaptív immunrendszereként leírt CRISPR/Cas9 rendszer, amely teljesíti a fenti kritériumokat. Csoportunk egy C. albicans-ra optimalizált rendszert alakított át úgy, hogy az alkalmazható legyen C. parapsilosis-ban. Tekintettel arra, hogy a CRISPR/Cas9 egy új eljárás, keveset tudunk a rendszer korlátairól, alkalmazhatóságának határairól. Szakirodalmi adatok szerint a módszer hatékonysága a törésponttól mért távolság növelésével csökken. Mivel célunk a technika hosszútávú alkalmazása, ezért fontos tudnunk, hogy mekkora az a PAM szekvenciától mért legnagyobb távolság, amely esetén a módosítás még létrehozható. Ennek érdekében kidolgoztunk egy rendszert, amelynek során a C. parapsilosis ADE2 génjét céloztuk, ugyanis az ade2</w:t>
      </w:r>
      <w:r>
        <w:rPr>
          <w:color w:val="000000"/>
          <w:position w:val="4"/>
          <w:sz w:val="21"/>
          <w:szCs w:val="21"/>
          <w:vertAlign w:val="superscript"/>
        </w:rPr>
        <w:t xml:space="preserve">-/-</w:t>
      </w:r>
      <w:r>
        <w:rPr>
          <w:color w:val="000000"/>
          <w:sz w:val="24"/>
          <w:szCs w:val="24"/>
        </w:rPr>
        <w:t xml:space="preserve"> mutánsok könnyen azonosítható piros színű telepeket eredményeznek. Kontrollként egy olyan dDNS-t alkalmaztunk, amely kizárólag a PAM szekvenciát módosítja, hogy a Cas9 általi folyamatos hasítást kizárhassuk. A további, összesen hét, dDNS-t úgy terveztük meg, hogy azok, az említett PAM szekvenciát érintő módosításon kívül, up- és downstream irányban, különböző távolságokra a törésponttól, mindössze egyetlen nukleotid módosítással STOP kodont hozzanak létre. A hatékonyságot a piros színű telepek össztelepszámához viszonyított arányával adtuk meg. Azt tapasztaltuk, hogy a kontroll dDNS esetében is létrejöttek piros telepek, amit háttér mutációnak tekintettük, és figyelembe vettük az eredményeink kiértékelésénél. A töréspont közvetlen közelében a hatékonyság 92,9 ± 2,7 %-nak bizonyult. A hatékonyság a távolság növekedésével egy közel harang görbe lefutású összefüggést mutatott. A legtávolabb eső módosítások 10 ± 4,7 % (40 nt upstream) és 24,7 ± 5,8 % (47 nt downstream) hatékonysággal voltak jellemezhetők.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477644">
    <w:multiLevelType w:val="hybridMultilevel"/>
    <w:lvl w:ilvl="0" w:tplc="515889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477644">
    <w:abstractNumId w:val="614776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14957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