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TANKÓ KAROLA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tankokarola@yahoo.com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ÁBRAHÁM LILLA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abrahamlilla14@gmail.com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Takács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Intrinzik és extrinzik motivációs faktrok összefüggése az iskolai teljesítménnyel az Országos Kompetenciamérés adatai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az intrinzik és extrinzik motivációs faktorok, illetve az iskolában felmért</w:t>
      </w:r>
      <w:r>
        <w:rPr>
          <w:color w:val="000000"/>
          <w:sz w:val="24"/>
          <w:szCs w:val="24"/>
        </w:rPr>
        <w:br/>
        <w:t xml:space="preserve">szövegértés teljesítmény közötti kapcsolatot vizsgálja az Országos Kompetenciamérés (OKM)</w:t>
      </w:r>
      <w:r>
        <w:rPr>
          <w:color w:val="000000"/>
          <w:sz w:val="24"/>
          <w:szCs w:val="24"/>
        </w:rPr>
        <w:br/>
        <w:t xml:space="preserve">2018-as, 2019-es és 2021-es adatait felhasználva. Az extrinzik motivációs faktorba a</w:t>
      </w:r>
      <w:r>
        <w:rPr>
          <w:color w:val="000000"/>
          <w:sz w:val="24"/>
          <w:szCs w:val="24"/>
        </w:rPr>
        <w:br/>
        <w:t xml:space="preserve">szocioökonómiai státuszt (SES), illetve a szülői bevonódás két faktorát soroltuk. A SES</w:t>
      </w:r>
      <w:r>
        <w:rPr>
          <w:color w:val="000000"/>
          <w:sz w:val="24"/>
          <w:szCs w:val="24"/>
        </w:rPr>
        <w:br/>
        <w:t xml:space="preserve">esetében jelentős kapcsolatot találtunk a diákok teljesítményével, míg a szülői bevonódás (a</w:t>
      </w:r>
      <w:r>
        <w:rPr>
          <w:color w:val="000000"/>
          <w:sz w:val="24"/>
          <w:szCs w:val="24"/>
        </w:rPr>
        <w:br/>
        <w:t xml:space="preserve">tanulmányokba és az otthoni teendőkbe) nem eredményezett szignifikáns kapcsolatot. A kutatás</w:t>
      </w:r>
      <w:r>
        <w:rPr>
          <w:color w:val="000000"/>
          <w:sz w:val="24"/>
          <w:szCs w:val="24"/>
        </w:rPr>
        <w:br/>
        <w:t xml:space="preserve">részét képezik még az intrinzik motivációs faktorok, továbbá a különórák szerepének vizsgálata</w:t>
      </w:r>
      <w:r>
        <w:rPr>
          <w:color w:val="000000"/>
          <w:sz w:val="24"/>
          <w:szCs w:val="24"/>
        </w:rPr>
        <w:br/>
        <w:t xml:space="preserve">(Perpék és Fekete, 2016). Intrinzik motivációként kerülnek említésre a diákok továbbtanulási</w:t>
      </w:r>
      <w:r>
        <w:rPr>
          <w:color w:val="000000"/>
          <w:sz w:val="24"/>
          <w:szCs w:val="24"/>
        </w:rPr>
        <w:br/>
        <w:t xml:space="preserve">céljai, továbbá a különórákon való részvétel. Mindemellett fontos kiemelnünk, hogy a</w:t>
      </w:r>
      <w:r>
        <w:rPr>
          <w:color w:val="000000"/>
          <w:sz w:val="24"/>
          <w:szCs w:val="24"/>
        </w:rPr>
        <w:br/>
        <w:t xml:space="preserve">különórákon való részvétel a kutatásunkban mind extrinzik, mind intrinzik motivációként</w:t>
      </w:r>
      <w:r>
        <w:rPr>
          <w:color w:val="000000"/>
          <w:sz w:val="24"/>
          <w:szCs w:val="24"/>
        </w:rPr>
        <w:br/>
        <w:t xml:space="preserve">kategorizálható, hiszen e plusz órákon való részvétel nemcsak a család szocioökonómiai</w:t>
      </w:r>
      <w:r>
        <w:rPr>
          <w:color w:val="000000"/>
          <w:sz w:val="24"/>
          <w:szCs w:val="24"/>
        </w:rPr>
        <w:br/>
        <w:t xml:space="preserve">hátterétől, hanem a tanuló belső késztetésétől is függ.</w:t>
      </w:r>
      <w:r>
        <w:rPr>
          <w:color w:val="000000"/>
          <w:sz w:val="24"/>
          <w:szCs w:val="24"/>
        </w:rPr>
        <w:br/>
        <w:t xml:space="preserve">Kutatási kérdésünk az intrinzik és extrinzik motivációs faktorok, illetve az iskolában nyújtott</w:t>
      </w:r>
      <w:r>
        <w:rPr>
          <w:color w:val="000000"/>
          <w:sz w:val="24"/>
          <w:szCs w:val="24"/>
        </w:rPr>
        <w:br/>
        <w:t xml:space="preserve">teljesítmény közötti kapcsolatra fókuszál. Azt vizsgáljuk, hogy az intrinzik motiváció, vagy az</w:t>
      </w:r>
      <w:r>
        <w:rPr>
          <w:color w:val="000000"/>
          <w:sz w:val="24"/>
          <w:szCs w:val="24"/>
        </w:rPr>
        <w:br/>
        <w:t xml:space="preserve">extrinzik motiváció által jósolható be inkább az iskolában való sikeresség.</w:t>
      </w:r>
      <w:r>
        <w:rPr>
          <w:color w:val="000000"/>
          <w:sz w:val="24"/>
          <w:szCs w:val="24"/>
        </w:rPr>
        <w:br/>
        <w:t xml:space="preserve">Első lépésben egy többdimenziós, összefüggő módszerekből álló statisztikai eljárást, a</w:t>
      </w:r>
      <w:r>
        <w:rPr>
          <w:color w:val="000000"/>
          <w:sz w:val="24"/>
          <w:szCs w:val="24"/>
        </w:rPr>
        <w:br/>
        <w:t xml:space="preserve">strukturális egyenletek modellezésének módszerét alkalmaztuk (Structural Equation Modeling,</w:t>
      </w:r>
      <w:r>
        <w:rPr>
          <w:color w:val="000000"/>
          <w:sz w:val="24"/>
          <w:szCs w:val="24"/>
        </w:rPr>
        <w:br/>
        <w:t xml:space="preserve">SEM). Ám a módszer nem szolgált megfelelő illeszkedéssel, így második lépésben a vizsgálatot</w:t>
      </w:r>
      <w:r>
        <w:rPr>
          <w:color w:val="000000"/>
          <w:sz w:val="24"/>
          <w:szCs w:val="24"/>
        </w:rPr>
        <w:br/>
        <w:t xml:space="preserve">Hierarchikus Többszörös Lineáris Regresszióval (HTLR) végeztük, 56869 fős reprezentatív</w:t>
      </w:r>
      <w:r>
        <w:rPr>
          <w:color w:val="000000"/>
          <w:sz w:val="24"/>
          <w:szCs w:val="24"/>
        </w:rPr>
        <w:br/>
        <w:t xml:space="preserve">mintán. Kutatásunk eredménye rávilágított a szocioökonómiai státusz, a továbbtanulási célok,</w:t>
      </w:r>
      <w:r>
        <w:rPr>
          <w:color w:val="000000"/>
          <w:sz w:val="24"/>
          <w:szCs w:val="24"/>
        </w:rPr>
        <w:br/>
        <w:t xml:space="preserve">illetve az idegennyelv különórákon való részvétel együttjárására. Általuk előrejelezhető a jó</w:t>
      </w:r>
      <w:r>
        <w:rPr>
          <w:color w:val="000000"/>
          <w:sz w:val="24"/>
          <w:szCs w:val="24"/>
        </w:rPr>
        <w:br/>
        <w:t xml:space="preserve">szövegértési pontszám, míg szülői bevonódás mindkét formája, a matematika és a sport</w:t>
      </w:r>
      <w:r>
        <w:rPr>
          <w:color w:val="000000"/>
          <w:sz w:val="24"/>
          <w:szCs w:val="24"/>
        </w:rPr>
        <w:br/>
        <w:t xml:space="preserve">különórák fordított együttjárást eredményeztek. A kapott eredmények összhangban voltak a</w:t>
      </w:r>
      <w:r>
        <w:rPr>
          <w:color w:val="000000"/>
          <w:sz w:val="24"/>
          <w:szCs w:val="24"/>
        </w:rPr>
        <w:br/>
        <w:t xml:space="preserve">szakirodalomban összefoglaltakkal, az illeszkedés mértéke közepes volt (Harsányi és mtsai.,</w:t>
      </w:r>
      <w:r>
        <w:rPr>
          <w:color w:val="000000"/>
          <w:sz w:val="24"/>
          <w:szCs w:val="24"/>
        </w:rPr>
        <w:br/>
        <w:t xml:space="preserve">2019).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77979">
    <w:multiLevelType w:val="hybridMultilevel"/>
    <w:lvl w:ilvl="0" w:tplc="74737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77979">
    <w:abstractNumId w:val="651779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082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