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AVAR GERGELY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avargergely@gmail.com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Spannraft Marcellina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Hitelesség és érzékenyítés. Az Asperger- és a Tourette-szindróma megjelenése a filmvásznon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címe: Hitelesség és érzékenyítés. Az Asperger- és a Tourette-szindróma megjelenése a filmvásznon. </w:t>
      </w:r>
      <w:r>
        <w:rPr>
          <w:color w:val="000000"/>
          <w:sz w:val="24"/>
          <w:szCs w:val="24"/>
        </w:rPr>
        <w:br/>
        <w:t xml:space="preserve">A témakör választásának okai: Általános iskolás koromban diagnosztizálták, hogy érintett vagyok a két kórképben. </w:t>
      </w:r>
      <w:r>
        <w:rPr>
          <w:color w:val="000000"/>
          <w:sz w:val="24"/>
          <w:szCs w:val="24"/>
        </w:rPr>
        <w:br/>
        <w:t xml:space="preserve">Ezenkívül tagja voltam egy olyan amatőr, integrált színtársulatnak, ahol épek és sérültek játszottak együtt, egy színpadon. Érintettségemre támaszkodva az Asperger-szindrómával élő Temple Grandin és a Tourette-szindrómás Brad Cohen életét feldolgozó filmeket (Temple Grandin, Jackson, Mick: Temple Grandin, 2010; A mintadiák, Werner, Peter: Front of the Class. 2008) vettem górcső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hipotéziseket állítottam fel:</w:t>
      </w:r>
      <w:r>
        <w:rPr>
          <w:color w:val="000000"/>
          <w:sz w:val="24"/>
          <w:szCs w:val="24"/>
        </w:rPr>
        <w:br/>
        <w:t xml:space="preserve">1. A különböző fogyatékossággal élő emberek – a két főszereplő és saját narratívámon keresztül – korlátaikat átlépve képesek arra, hogy ők is a mai társadalom hasznos tagjává válhassanak, értékeket közvetítsenek, „maradandót” alkossanak.</w:t>
      </w:r>
      <w:r>
        <w:rPr>
          <w:color w:val="000000"/>
          <w:sz w:val="24"/>
          <w:szCs w:val="24"/>
        </w:rPr>
        <w:br/>
        <w:t xml:space="preserve">2. A két filmadaptáció rávilágít arra, hogy a főszereplők valóban nagy hátránnyal indultak az életben, de fiatal felnőttkorukra ezt megtanulták saját előnyükre fordítani, és jelentős sikereket értek el.</w:t>
      </w:r>
      <w:r>
        <w:rPr>
          <w:color w:val="000000"/>
          <w:sz w:val="24"/>
          <w:szCs w:val="24"/>
        </w:rPr>
        <w:br/>
        <w:t xml:space="preserve">3. „Egyedi” kommunikációjuk különböző válaszreakciókat vált ki a körülöttük lévő „ép” emberekben.</w:t>
      </w:r>
      <w:r>
        <w:rPr>
          <w:color w:val="000000"/>
          <w:sz w:val="24"/>
          <w:szCs w:val="24"/>
        </w:rPr>
        <w:br/>
        <w:t xml:space="preserve">4. A filmekben ezenkívül kiemelt szerepet kap az érintett fél támogatása, tehetségének kibontakoztatása, egyéni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Módszeremet tekintve kvalitatív kutatást végeztem. Hipotéziseimet speciális (fogyatékosságtudományi), és kommunikációelméleti szakirodalmak feldolgozásával próbáltam bizonyítani, vagy éppen megcáfolni. A filmek érzékenyítő jellege mellett a szakirodalom és az érintettek személyes élettörténet-írása biztosítja a hitelességet. A kutatási folyamatot az elméleti háttér kidolgozásával kezdtem. A filmadaptációk elemzése során olyan jelenetekre fókuszáltam, ahol a szakirodalom által igazolt, az adott fogyatékossági terület jellemzőit, kommunikációs problémáit, és a tünetek enyhítését célzó terápiás lehetőségeket vizsgáltam filmes kontextusban.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eredményekre jutottam: a két főszereplő valóban nagy hátránnyal indult az életben, de idővel megtanulták hátrányukat saját előnyükre fordítani. „Egyedi” kommunikációjukat különböző módon dekódolták a körülöttük lévő emberek. A filmek nagy hangsúlyt fordítanak a tehetséggondozásra és az érintett fél egyéni fejlesztésére. Az én élettörténetemre is ezek az aspektusok jellemzőek – bővebben lásd: „Saját narratíva”. Eredményeim és narratívám alapján sikerült bebizonyítanom hipotéziseim.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86091">
    <w:multiLevelType w:val="hybridMultilevel"/>
    <w:lvl w:ilvl="0" w:tplc="24280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86091">
    <w:abstractNumId w:val="740860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140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