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MURAKÖZY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lillancs01@gmail.com</w:t>
            </w:r>
            <w:r w:rsidRPr="002361E2">
              <w:rPr>
                <w:i/>
              </w:rPr>
              <w:br/>
            </w:r>
            <w:r w:rsidR="00A96AEC">
              <w:t>Erdőmérnök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ZÁM IZABELLA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izadm013@gmail.com</w:t>
            </w:r>
            <w:r w:rsidRPr="002361E2">
              <w:rPr>
                <w:i/>
              </w:rPr>
              <w:br/>
            </w:r>
            <w:bookmarkEnd w:id="1"/>
            <w:r w:rsidR="00C275A3">
              <w:t>Erdőmérnök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Soproni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Erdőmérnöki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Tari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gím- és dámszarvas téli táplálékfelvételének jellemzői és azok erdő- és vadgazdálkodási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gím- és dámszarvas téli táplálékfelvételének jellemzői és azok erdő- és vadgazdálkodási vonatkozásai</w:t>
      </w:r>
      <w:r>
        <w:rPr>
          <w:color w:val="000000"/>
          <w:sz w:val="24"/>
          <w:szCs w:val="24"/>
        </w:rPr>
        <w:br/>
        <w:t xml:space="preserve">Dolgozatunkban a gímszarvas (Cervus elaphus) és a dámszarvas (Dama dama) bendőtartalomelemzésén alapuló táplálkozásvizsgálatot végeztünk. A téli táplálkozás jellegzetességeit vizsgáltuk és hasonlítottuk össze a két faj között. A vizsgálat alapját 29 gím- és 27 dámszarvas képezte, amiket Nyugat-Belső-Somogyban ejtettek. A bendőtartalmakat makroszkópikusan elemeztük ki. Faji bontásban vizsgáltuk a mintákat, a táplálékkomponensek előfordulási gyakorisága, táplálékkomponensek száma, és táplálékösszetétel alapján. Táplálékösszetételt korcsoportok szerint és klaszterelemzéssel is vizsgáltuk. Ezen kívül a táplálékban fellelhető hajtásokat is elemeztük, számuk és méretük szerint. Az eredmények alapján a gímszarvas közel azonos arányban fogyasztott egyszikűt és mezőgazdasági termést, ezek voltak a legkedveltebb komponensek náluk, míg az erdei termés fogyasztása minimális volt. A dámnál az egyszikű fogyasztás dominanciája figyelhető meg, ezen kívül a kétszikű fogyasztás is magas volt. Náluk a tűlevél, hajtás és mezőgazdasági termés a legkevésbé fogyasztott a 6 táplálkozási komponens közül.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32056">
    <w:multiLevelType w:val="hybridMultilevel"/>
    <w:lvl w:ilvl="0" w:tplc="48869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32056">
    <w:abstractNumId w:val="964320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37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