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REBÁK ANNA</w:t>
            </w:r>
          </w:p>
          <w:p w:rsidR="00C275A3" w:rsidRDefault="00186641" w:rsidP="00C275A3">
            <w:pPr>
              <w:pStyle w:val="Hallgatokepzes"/>
            </w:pPr>
            <w:r w:rsidRPr="002361E2">
              <w:rPr>
                <w:i/>
              </w:rPr>
              <w:t>rebakanna14@gmail.com</w:t>
            </w:r>
            <w:r w:rsidRPr="002361E2">
              <w:rPr>
                <w:i/>
              </w:rPr>
              <w:br/>
            </w:r>
            <w:r w:rsidR="00A96AEC">
              <w:t>Társadalmi-viselkedéselemzés</w:t>
            </w:r>
            <w:r w:rsidR="00A96AEC">
              <w:br/>
            </w:r>
            <w:r w:rsidR="00E77B23">
              <w:t>MA, 1.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Dupcsik Csaba</w:t>
            </w:r>
          </w:p>
          <w:p w:rsidR="00DB4822" w:rsidRDefault="00DB4822" w:rsidP="009763E0">
            <w:pPr>
              <w:pStyle w:val="Konzulensektitulus"/>
            </w:pPr>
            <w:r w:rsidRPr="00DB4822">
              <w:t>habil. egy. doc.,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Oroszország és az Európai radikális jobboldal kapcsolata Narratívák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Oroszország és a nyugati radikális jobboldal szereplői kapcsolatban állnak egymással. Az orosz-ukrán háború kitörése után a kapcsolat fordulóponthoz érkezett: választaniuk kellet, hogy az euroatlanti szövetség vagy a Kreml felé tendálnak a jövőben. Hipotéziseim szerint a korábbi együttműködés formája, a választások közelsége, valamint a korábbi kapcsolatok erőssége befolyásolta, hogy változtattak-e korábbi álláspontjukon, és ha igen, akkor milyen mértékben. Ennek vizsgálatára az elmúlt időszakban megjelent cikkeket használtam. Főleg angol nyelven, de ahol szükséges és lehetséges volt, ott az adott párt nyelvén megjelent cikkeket is használtam. Célom volt minél nagyobb mennyiségű irodalmat feldolgozni és beleépíteni a dolgozatomba, a végleges irodalomjegyzékben 127 tétel szerepel.</w:t>
      </w:r>
      <w:r>
        <w:rPr>
          <w:color w:val="000000"/>
          <w:sz w:val="24"/>
          <w:szCs w:val="24"/>
        </w:rPr>
        <w:br/>
        <w:t xml:space="preserve">Első körben elmélyedtem a szükséges alap szakirodalomban, amelynek egy részét már a szakdolgozatom írása során is hasznosítottam. Jelen munkámnál a hangsúlyt a radikális pártok Moszkvával való viszonyára helyeztem, valamint a 2022 február óta eltelt időszakban megjelent releváns szakirodalomra és közvélemény kutatásokra. Az események újszerűsége miatt, azonban a szakirodalmak köre szűkös. Felfedezhető volt, hogy a radikális jobboldal a 90-es években is ápolt kapcsolatot orosz szereplőkkel, de csak a 2000-es évek után, Putyin hatalomra kerülését követően kezdett el a kormányzattal és kormányzó párttal együttműködni. A kapcsolatok kiépülése és az akkor még a politikai paletta szélén megjelenő szélsőjobboldali ideológiák meanstreammé válása egymással párhuzamosan ment végbe.</w:t>
      </w:r>
      <w:r>
        <w:rPr>
          <w:color w:val="000000"/>
          <w:sz w:val="24"/>
          <w:szCs w:val="24"/>
        </w:rPr>
        <w:br/>
        <w:t xml:space="preserve">Következő lépésben kiválogattam a hipotéziseim szerint releváns országokat (volt amelyik több hipotézis alá is bekerült), és az ott működő a radikális jobboldali szereplők viselkedését kezdtem el elemezni. A következő országokat vizsgáltam meg alaposabban: Magyarország, Németország, Olaszország, Franciaország, Amerikai Egyesült Államok, Svédország. Ennek következtében megállapításra került, hogy bár minden párt és annak kiemelt szereplői másképp reagáltak az eseményekre, voltak hasonlóságok is.</w:t>
      </w:r>
      <w:r>
        <w:rPr>
          <w:color w:val="000000"/>
          <w:sz w:val="24"/>
          <w:szCs w:val="24"/>
        </w:rPr>
        <w:br/>
        <w:t xml:space="preserve">Összegzés: A hipotézisek egyértelmű bizonyítása nem sikerült, minden esetben az Oroszországgal kapcsolatos narratívák megváltozása mögött a közvélemény erős ellenérzése és annak kinyilvánítása állt, azonban sokszor ez se tudta rávenni a politikai szereplőket korábbi álláspontjuk jelentős módosítására.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87199">
    <w:multiLevelType w:val="hybridMultilevel"/>
    <w:lvl w:ilvl="0" w:tplc="34169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87199">
    <w:abstractNumId w:val="873871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4208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