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AARON BALOGH</w:t>
            </w:r>
          </w:p>
          <w:p w:rsidR="00C275A3" w:rsidRDefault="00186641" w:rsidP="00C275A3">
            <w:pPr>
              <w:pStyle w:val="Hallgatokepzes"/>
            </w:pPr>
            <w:r w:rsidRPr="002361E2">
              <w:rPr>
                <w:i/>
              </w:rPr>
              <w:t>balogharon2000@gmail.com</w:t>
            </w:r>
            <w:r w:rsidRPr="002361E2">
              <w:rPr>
                <w:i/>
              </w:rPr>
              <w:br/>
            </w:r>
            <w:r w:rsidR="00A96AEC">
              <w:t>International Security and Defense Policy</w:t>
            </w:r>
            <w:r w:rsidR="00A96AEC">
              <w:br/>
            </w:r>
            <w:r w:rsidR="00E77B23">
              <w:t>MSc,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Colonel Zoltán László Kiss, professor</w:t>
            </w:r>
          </w:p>
          <w:p w:rsidR="00DB4822" w:rsidRDefault="00DB4822" w:rsidP="009763E0">
            <w:pPr>
              <w:pStyle w:val="Konzulensektitulus"/>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child soldier phenomenon in Latin America and Southeast Asia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phenomenon of child soldiers is one of the defining issue of today's security policy, however, in my view, it remains under-researched as such. This deficiency is not only noticeable within the Hungarian scientific community, but the situation is also similar internationally, especially if we want to deal with the issue beyond the borders of Africa. The situation is similar if we approach the topic from the side of the generally accepted definition. Current frameworks, in my view, ignore a number of factors that are unavoidable in the 21st century. Latin America and Southeast Asia, which are in the focus of my thesis, are similarly involved in the issue, as are African and Arab states, yet few people are concerned with understanding the processes there, even though in our globalized world it would be naive to imagine that we cannot gain experience from the relevant practices of regions far from us. Examining the events of the countries there, it can be observed that the elements of the conflicts of the 20th century have changed, and the exploitation of minors in the last two decades shows different characteristics than before the millennium. Although the relevant change between civil war practice and the organized criminal groups did not happen overnight, the trend can still be observed. According to my main hypothesis, the definition of child soldiers commonly used today can be considered outdated and needs to be revised and supplemented, which I successfully proved through the examples of the two analyzed regions. At the same time, we should not completely neglect the activity corresponding to the previous practice, since in a short overview I draw attention to the fact that the change I have outlined is not yet really observable in African countries, which are indispensable for Hungarian and European security. However, with the rise of terrorist groups in this practice, a third pillar also appears (+ irregular/regular forces, organized crime groups). In addition to presenting the characteristics of child soldiers by region, I also placed more emphasis on programs aimed at demobilization and reintegration into society, with which I tried to draw attention to their challenges, underfunding, and lack in the countries serving as examples. In most cases, they are basically only able to provide symptomatic treatment for a fragile state recovering from a conflict.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27561">
    <w:multiLevelType w:val="hybridMultilevel"/>
    <w:lvl w:ilvl="0" w:tplc="9277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27561">
    <w:abstractNumId w:val="29627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17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