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HENEZ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botondhenez@gmail.com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Petruska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Lawfare: a jog katonai célra való felhasználása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 folyamatos fejlődésének köszönhetően napjainkra már egy jelentős nemzetközi jogrend-szer épült ki, amely több területen is szabályozza az államok és nemzetközi szervezetek műkö-dését, valamint egymáshoz való viszonyát. Milyen hatással járna azonban, ha egyes aktorok az olykor túlságosan összetett, vagy hiányos jogi szabályozásokat a saját céljaik elérésére felhasz-nálva, valós, vélt vagy alaptalan incidensek miatt tudatosan indítanának pereket, figyelmen kívül hagyva a nemzetközi jog által előírt alapelveket?</w:t>
      </w:r>
      <w:r>
        <w:rPr>
          <w:color w:val="000000"/>
          <w:sz w:val="24"/>
          <w:szCs w:val="24"/>
        </w:rPr>
        <w:br/>
        <w:t xml:space="preserve">Ez esetben beszélhetünk a lawfare-ről mint fogalomról. Eddig soha nem látott gyakoriság-gal fordulnak elő az ilyen jellegű jogi viták. Egyik fő oka ezeknek az Izrael és Palesztina között évtizedek óta fennálló konfliktus, mely számos példával szolgáltat a joghézagok kihasználásá-ra, esetlegesen a már meglévő szabályozások sajátos módon való értelmezésére. Dolgozatom-ban ezt, és az ehhez kapcsolódó bírósági döntéseket és ezek hatásait kívánom bemutatni a lawfare általános ismertetőivel együtt. Ezzel kapcsolatban külön kitérek ezen hibrid hadviselési eszköz sajátosságaira és a nemzetközi fórumok adta lehetőségekre. Mindezek során bemuta-tom, hogy hogyan érhet el egy peres fél katonai célokat egy tárgyalóterem falai között.</w:t>
      </w:r>
      <w:r>
        <w:rPr>
          <w:color w:val="000000"/>
          <w:sz w:val="24"/>
          <w:szCs w:val="24"/>
        </w:rPr>
        <w:br/>
        <w:t xml:space="preserve">Elsőként azt kívánom ismertetni, hogy a benne rejlő potenciál ellenére miért tartom való-színűtlennek, hogy ez a hadászati eszköz lecseréli a már megszokott, kinetikus társait. Másod-körben azt is mérlegelni fogom, miért éri meg egy államnak ezzel foglalkozni és esetlegesen erőforrásokat fordítania a lawfare offenzív és defenzív módon történő alkalmazására.</w:t>
      </w:r>
      <w:r>
        <w:rPr>
          <w:color w:val="000000"/>
          <w:sz w:val="24"/>
          <w:szCs w:val="24"/>
        </w:rPr>
        <w:br/>
        <w:t xml:space="preserve">Esszém végére, a következtetéseimet levonva, a jog ilyen irányú felhasználásának módját illetően egy közelebbi képet nyújtok annak jövőjét illetően. Mindezt főként hipotéziseim elemzésével, illetve az ebből fakadóan érintett nemzetközi jog, nemzetközi bíróságok és fóru-mok jellemzésével fogom megtenni. Mindezek során párhuzamot vonok a két említett ország közötti szembenállás kulcsfontosságú pillanatai és a lawfare általános jellemzői közé.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08608">
    <w:multiLevelType w:val="hybridMultilevel"/>
    <w:lvl w:ilvl="0" w:tplc="60707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08608">
    <w:abstractNumId w:val="91608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79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