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VERONIKA TÓTH </w:t>
            </w:r>
          </w:p>
          <w:p w:rsidR="00C275A3" w:rsidRDefault="00186641" w:rsidP="00C275A3">
            <w:pPr>
              <w:pStyle w:val="Hallgatokepzes"/>
            </w:pPr>
            <w:r w:rsidRPr="002361E2">
              <w:rPr>
                <w:i/>
              </w:rPr>
              <w:t>t.verocs@gmail.com</w:t>
            </w:r>
            <w:r w:rsidRPr="002361E2">
              <w:rPr>
                <w:i/>
              </w:rPr>
              <w:br/>
            </w:r>
            <w:r w:rsidR="00A96AEC">
              <w:t>International Public Management </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Szente-Varga, Ph.D</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Drug-Free or Drug-Conscious Policy - An analysis of the motivations behind marijuana legalization in Europe and Latin-America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Marijuana, a member of the genus Cannabis, has been widely used as an illegal mind-altering drug by young people and adults alike through the black market despite the fact that under international law cannabis cultivation, supply, and possession should be restricted exclusively to medical and scientific purposes. In order to discourage usage and possession of the drug for personal use most nations make it punishable by jail. However, in recent years there have been some developments in this field. In 2013, the news that the government of Uruguay had fully legalized the use of marijuana for its residents, under certain conditions, caused a huge international stir. Since then, numerous jurisdictions have lessened their punishments for cannabis users and some of them have allowed the supply of marijuana. As a result, complicated regulatory structures that differ by nation have emerged, raising several questions and concerns allowing us to observe different control models.</w:t>
      </w:r>
      <w:r>
        <w:rPr>
          <w:color w:val="000000"/>
          <w:sz w:val="24"/>
          <w:szCs w:val="24"/>
        </w:rPr>
        <w:br/>
        <w:t xml:space="preserve">Policy discussions are complicated by conflicting claims such as depenalization, decriminalization or legalization, and medical or recreational use, therefore my paper intends to clarify them. Drug-free or drug-cautious policy from the perspective of cannabis identifies several areas and questions that are worth examining. In this paper, the international legal frameworks surrounding marijuana policy are accurately described, along with the basic regulatory models developed recently, and a comparison of the conditions around cannabis policy developed in Uruguay, Germany, and Hungary.</w:t>
      </w:r>
      <w:r>
        <w:rPr>
          <w:color w:val="000000"/>
          <w:sz w:val="24"/>
          <w:szCs w:val="24"/>
        </w:rPr>
        <w:br/>
        <w:t xml:space="preserve">Throughout the analysis of national official documents and local press media, I observed recently developed policies around cannabis and I concluded some facts that can serve as theories. The results of my research paper are the following: (1) countries started to change their drug control approaches because they think that prohibitionist drug policy has failed and it causes more harm instead of eliminating drug-related crime because the international conventions are outdated. (2) the incentives for following a drug-conscious policy, are to reduce crime, curb the black market, reallocate resources, improve public health, and finally enhance public safety. (3) the government stands behind the drug policies, therefore the drug policy approach that has to be followed within a country is determined by the political leadership and its political affiliation.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35447">
    <w:multiLevelType w:val="hybridMultilevel"/>
    <w:lvl w:ilvl="0" w:tplc="22901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35447">
    <w:abstractNumId w:val="60835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137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