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CSIK GABRIELLA</w:t>
            </w:r>
          </w:p>
          <w:p w:rsidR="00C275A3" w:rsidRDefault="00186641" w:rsidP="00C275A3">
            <w:pPr>
              <w:pStyle w:val="Hallgatokepzes"/>
            </w:pPr>
            <w:r w:rsidRPr="002361E2">
              <w:rPr>
                <w:i/>
              </w:rPr>
              <w:t>csikgabi10@gmail.com</w:t>
            </w:r>
            <w:r w:rsidRPr="002361E2">
              <w:rPr>
                <w:i/>
              </w:rPr>
              <w:br/>
            </w:r>
            <w:r w:rsidR="00A96AEC">
              <w:t>Anglisztika</w:t>
            </w:r>
            <w:r w:rsidR="00A96AEC">
              <w:br/>
            </w:r>
            <w:r w:rsidR="00E77B23">
              <w:t>MA, 1.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F. Andrea</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Esther Az üvegburában: Az identitáskeresés útján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themes of Sylvia Plath’s The Bell Jar is Esther Greenwood’s search for identity.</w:t>
      </w:r>
      <w:r>
        <w:rPr>
          <w:color w:val="000000"/>
          <w:sz w:val="24"/>
          <w:szCs w:val="24"/>
        </w:rPr>
        <w:br/>
        <w:t xml:space="preserve">Her identity is being formed by particular events and characters in her life and the society of</w:t>
      </w:r>
      <w:r>
        <w:rPr>
          <w:color w:val="000000"/>
          <w:sz w:val="24"/>
          <w:szCs w:val="24"/>
        </w:rPr>
        <w:br/>
        <w:t xml:space="preserve">the 1950s she has lived in. My research aims to explore these identity-shaping influences and</w:t>
      </w:r>
      <w:r>
        <w:rPr>
          <w:color w:val="000000"/>
          <w:sz w:val="24"/>
          <w:szCs w:val="24"/>
        </w:rPr>
        <w:br/>
        <w:t xml:space="preserve">the outcome of the main character’s search for identity. The theme was explored by closely</w:t>
      </w:r>
      <w:r>
        <w:rPr>
          <w:color w:val="000000"/>
          <w:sz w:val="24"/>
          <w:szCs w:val="24"/>
        </w:rPr>
        <w:br/>
        <w:t xml:space="preserve">reading and interpreting the novel in the context of recent critical literature.</w:t>
      </w:r>
      <w:r>
        <w:rPr>
          <w:color w:val="000000"/>
          <w:sz w:val="24"/>
          <w:szCs w:val="24"/>
        </w:rPr>
        <w:br/>
        <w:t xml:space="preserve">This paper is divided into four chapters focusing on the genre of the novel as bildungsroman,</w:t>
      </w:r>
      <w:r>
        <w:rPr>
          <w:color w:val="000000"/>
          <w:sz w:val="24"/>
          <w:szCs w:val="24"/>
        </w:rPr>
        <w:br/>
        <w:t xml:space="preserve">the characters influencing the protagonist, her journey, and its outcome.</w:t>
      </w:r>
      <w:r>
        <w:rPr>
          <w:color w:val="000000"/>
          <w:sz w:val="24"/>
          <w:szCs w:val="24"/>
        </w:rPr>
        <w:br/>
        <w:t xml:space="preserve">As a result of the research, it is demonstrated that Esther's self-identification process deviates from the paradigm implied by the options available to the main character. Instead, she strongly influences her subjectification process by rejecting the options, as well as by her interactions with men, her breakdown, her relationship with Dr. Nolan, and—most significantly—with Joan Gilling.</w:t>
      </w:r>
    </w:p>
    <w:p>
      <w:pPr>
        <w:widowControl w:val="on"/>
        <w:pBdr/>
        <w:spacing w:before="240" w:after="240" w:line="240" w:lineRule="auto"/>
        <w:ind w:left="0" w:right="0"/>
        <w:jc w:val="left"/>
      </w:pPr>
      <w:r>
        <w:rPr>
          <w:color w:val="000000"/>
          <w:sz w:val="24"/>
          <w:szCs w:val="24"/>
        </w:rPr>
        <w:t xml:space="preserve">Keywords: Sylvia Plath, search for identity, bildungsroman, 1950s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43770">
    <w:multiLevelType w:val="hybridMultilevel"/>
    <w:lvl w:ilvl="0" w:tplc="38107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43770">
    <w:abstractNumId w:val="91043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40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