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FEKONYA RÓBERT</w:t>
            </w:r>
          </w:p>
          <w:p w:rsidR="00C275A3" w:rsidRDefault="00186641" w:rsidP="00C275A3">
            <w:pPr>
              <w:pStyle w:val="Hallgatokepzes"/>
            </w:pPr>
            <w:r w:rsidRPr="002361E2">
              <w:rPr>
                <w:i/>
              </w:rPr>
              <w:t>robert60000000@gmail.com</w:t>
            </w:r>
            <w:r w:rsidRPr="002361E2">
              <w:rPr>
                <w:i/>
              </w:rPr>
              <w:br/>
            </w:r>
            <w:r w:rsidR="00A96AEC">
              <w:t>anglisztika alapképzés</w:t>
            </w:r>
            <w:r w:rsidR="00A96AEC">
              <w:br/>
            </w:r>
            <w:r w:rsidR="00E77B23">
              <w:t>BA, 5.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Sipos Nikolett</w:t>
            </w:r>
          </w:p>
          <w:p w:rsidR="00DB4822" w:rsidRDefault="00DB4822" w:rsidP="009763E0">
            <w:pPr>
              <w:pStyle w:val="Konzulensektitulus"/>
            </w:pPr>
            <w:r w:rsidRPr="00DB4822">
              <w:t>egyetemi tanársegéd,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pszichoanalízis szerepe Philip K. Dick Kizökkent idő című regényében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Philip K. Dick’s Time out of Joint is not a widely discussed piece of his bibliography, but stands out due to its marked inclusion of Sigmund Freud’s discipline of psychoanalysis. The goal of this paper is to provide an academic explanation behind the reason for, and significance of this inclusion.</w:t>
      </w:r>
    </w:p>
    <w:p>
      <w:pPr>
        <w:widowControl w:val="on"/>
        <w:pBdr/>
        <w:spacing w:before="240" w:after="240" w:line="240" w:lineRule="auto"/>
        <w:ind w:left="0" w:right="0"/>
        <w:jc w:val="left"/>
      </w:pPr>
      <w:r>
        <w:rPr>
          <w:color w:val="000000"/>
          <w:sz w:val="24"/>
          <w:szCs w:val="24"/>
        </w:rPr>
        <w:t xml:space="preserve">First by presenting the necessary context for the author’s familiarity on the subject, detailing his upbringing and personal experiences with psychology through education, therapy and as an inspiration for his works. It also details the background for Freud’s presence in the U.S. and shows why his specific inclusion is not obvious from the offset, since he is overall not as culturally significant overseas as the author’s main inspiration in the subject of psychology, Carl Gustav Jung. It also demonstrates through a spiritual experience the author had in 1974, when he himself saw time out of joint, how aware of mental processes, such as the ones discussed in the novel, he was through the lense of psychoanalysis.</w:t>
      </w:r>
    </w:p>
    <w:p>
      <w:pPr>
        <w:widowControl w:val="on"/>
        <w:pBdr/>
        <w:spacing w:before="240" w:after="240" w:line="240" w:lineRule="auto"/>
        <w:ind w:left="0" w:right="0"/>
        <w:jc w:val="left"/>
      </w:pPr>
      <w:r>
        <w:rPr>
          <w:color w:val="000000"/>
          <w:sz w:val="24"/>
          <w:szCs w:val="24"/>
        </w:rPr>
        <w:t xml:space="preserve">The paper then provides ample examples for the presence of Freud’s theories in the novel, such as his personality theory, his definition of the unconscious and coping mechanisms, as well as his theories on group psychology.</w:t>
      </w:r>
    </w:p>
    <w:p>
      <w:pPr>
        <w:widowControl w:val="on"/>
        <w:pBdr/>
        <w:spacing w:before="240" w:after="240" w:line="240" w:lineRule="auto"/>
        <w:ind w:left="0" w:right="0"/>
        <w:jc w:val="left"/>
      </w:pPr>
      <w:r>
        <w:rPr>
          <w:color w:val="000000"/>
          <w:sz w:val="24"/>
          <w:szCs w:val="24"/>
        </w:rPr>
        <w:t xml:space="preserve">Another major way Freud’s psychoanalysis and personality theory is present is in the structure of the central conflict of the novel. The civil war between the One Happy World government, serving as a stand in for the superego, and the lunar colonies, the “lunatics”, standing in for the id. Finally, Ragle Gumm, the intermediary and the only one able to mediate and resolve the conflict between the two, the exact role of the ego. The need for travel and exploration as an essential instinct, the realisation and subsequent repression of it causes the entire conflict within the story.</w:t>
      </w:r>
    </w:p>
    <w:p>
      <w:pPr>
        <w:widowControl w:val="on"/>
        <w:pBdr/>
        <w:spacing w:before="240" w:after="240" w:line="240" w:lineRule="auto"/>
        <w:ind w:left="0" w:right="0"/>
        <w:jc w:val="left"/>
      </w:pPr>
      <w:r>
        <w:rPr>
          <w:color w:val="000000"/>
          <w:sz w:val="24"/>
          <w:szCs w:val="24"/>
        </w:rPr>
        <w:t xml:space="preserve">The paper also disproves that the explanation for the inner workings of characters by psychoanalysis is tied to one group or agenda in the novel, which is a justified suspicion, since the first characters that self-report in having an interest in Freud serve as the antagonists within the story. But later it is revealed that psychoanalysis is used by all parties and the author himself as a universal tool that provides the background for the characters’ personal journeys as well as the main conflict of the novel. Its essential role thus provides both the explanation for and the specific need for its inclusion.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66072">
    <w:multiLevelType w:val="hybridMultilevel"/>
    <w:lvl w:ilvl="0" w:tplc="49185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66072">
    <w:abstractNumId w:val="69766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454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