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VIRÁG LEVENTE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viraglevente0621@gmail.com</w:t>
            </w:r>
            <w:r w:rsidRPr="002361E2">
              <w:rPr>
                <w:i/>
              </w:rPr>
              <w:br/>
            </w:r>
            <w:r w:rsidR="00A96AEC">
              <w:t>Edző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ifj. Dr. Tóth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id. Dr. Tóth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Külföldi játékosok játékperceinek változása Magyarországon és Közép Európában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</w:t>
      </w:r>
      <w:r>
        <w:rPr>
          <w:color w:val="000000"/>
          <w:sz w:val="24"/>
          <w:szCs w:val="24"/>
        </w:rPr>
        <w:br/>
        <w:t xml:space="preserve">A magyar labdarúgó elsőosztályban jelentősen megnövekedett a külföldi sportolók játékidő aránya. Ezt a feltevést igazolja, hogy a NB1 tizenkét csapatra szűkítése óta , évről évre emelkedett a külföldi labdarúgók pályán töltött ideje. Amíg 15/16-os idényben 70,8% - 29,2% volt az arány, az a 21/22-es idényre 49,8% -50,2%-ra emelkedett a légiósok javára. A jelenleg futó szezonban pozitív példa a Vasas FC illetve a már hosszú évek óta csak belföldi labdarúgókat alkalmazó Paksi FC. Ellenpélda a teljes játékidő 90,6 %-át (transfermarkt.com) külföldi játékosoknak biztosító Kisvárda FC.</w:t>
      </w:r>
      <w:r>
        <w:rPr>
          <w:color w:val="000000"/>
          <w:sz w:val="24"/>
          <w:szCs w:val="24"/>
        </w:rPr>
        <w:br/>
        <w:t xml:space="preserve">Hipotézisek</w:t>
      </w:r>
      <w:r>
        <w:rPr>
          <w:color w:val="000000"/>
          <w:sz w:val="24"/>
          <w:szCs w:val="24"/>
        </w:rPr>
        <w:br/>
        <w:t xml:space="preserve">(1.) Feltételezem, hogy Magyarország biztosítja a legtöbb játékpercet a külföldi játékosoknak, a vizsgált országok közül.</w:t>
      </w:r>
      <w:r>
        <w:rPr>
          <w:color w:val="000000"/>
          <w:sz w:val="24"/>
          <w:szCs w:val="24"/>
        </w:rPr>
        <w:br/>
        <w:t xml:space="preserve">(2.) Feltételezem, hogy Magyarországon nőtt a legtöbbet a légiósok játékperceinek aránya, a legkorábbi, illetve a legfrissebb adatokat nézve.</w:t>
      </w:r>
      <w:r>
        <w:rPr>
          <w:color w:val="000000"/>
          <w:sz w:val="24"/>
          <w:szCs w:val="24"/>
        </w:rPr>
        <w:br/>
        <w:t xml:space="preserve">(3.) Feltételezem, hogy Szerbia biztosít a legtöbb játékpercet a hazai játékosaik számára a vizsgált országok közül.</w:t>
      </w:r>
      <w:r>
        <w:rPr>
          <w:color w:val="000000"/>
          <w:sz w:val="24"/>
          <w:szCs w:val="24"/>
        </w:rPr>
        <w:br/>
        <w:t xml:space="preserve">Kutatás célja</w:t>
      </w:r>
      <w:r>
        <w:rPr>
          <w:color w:val="000000"/>
          <w:sz w:val="24"/>
          <w:szCs w:val="24"/>
        </w:rPr>
        <w:br/>
        <w:t xml:space="preserve">Magyarország és egyes Közép-európai országok tendenciáinak megfigyelése, a belföldi és külföldi játékosok játékperceinek arányának szempontjából. Legkiemelkedőbb célomnak tekintem a magyar labdarúgó társadalom figyelmének felhívását a légiósok mennyiségének folyamatos növekedésére.</w:t>
      </w:r>
      <w:r>
        <w:rPr>
          <w:color w:val="000000"/>
          <w:sz w:val="24"/>
          <w:szCs w:val="24"/>
        </w:rPr>
        <w:br/>
        <w:t xml:space="preserve">Módszerek</w:t>
      </w:r>
      <w:r>
        <w:rPr>
          <w:color w:val="000000"/>
          <w:sz w:val="24"/>
          <w:szCs w:val="24"/>
        </w:rPr>
        <w:br/>
        <w:t xml:space="preserve">Magyarországhoz hasonló nagyságú és földrajzi elhelyezkedésű országok első osztályú klubjainak hazai és külföldi játékosainak számának/játélehetőségének (percben történő) összehasonlítása (n=9) elvégzésre kerül. Vizsgált országok: Ausztria, Szlovénia, Szlovákia, Csehország, Ukrajna, Szerbia, Románia, Horvátország és Magyarország. A statisztikai elemzéseket a JASP szoftverben végeztük el (0.16.3 verzió, JASP Team, 2022).</w:t>
      </w:r>
      <w:r>
        <w:rPr>
          <w:color w:val="000000"/>
          <w:sz w:val="24"/>
          <w:szCs w:val="24"/>
        </w:rPr>
        <w:br/>
        <w:t xml:space="preserve">Összefoglalás</w:t>
      </w:r>
      <w:r>
        <w:rPr>
          <w:color w:val="000000"/>
          <w:sz w:val="24"/>
          <w:szCs w:val="24"/>
        </w:rPr>
        <w:br/>
        <w:t xml:space="preserve">A külföldi játékosok játékpercei növekvő tendenciát mutatnak a 2015/2016-os és 2021/2022-</w:t>
      </w:r>
      <w:r>
        <w:rPr>
          <w:color w:val="000000"/>
          <w:sz w:val="24"/>
          <w:szCs w:val="24"/>
        </w:rPr>
        <w:br/>
        <w:t xml:space="preserve">es szezon között a vizsgált országokban (F(1;61)=6,10;p=0,016). Az összes ország</w:t>
      </w:r>
      <w:r>
        <w:rPr>
          <w:color w:val="000000"/>
          <w:sz w:val="24"/>
          <w:szCs w:val="24"/>
        </w:rPr>
        <w:br/>
        <w:t xml:space="preserve">figyelembevételével az tendencia regressziós egyenese a következő: -27,421 + 0,014 * szezon</w:t>
      </w:r>
      <w:r>
        <w:rPr>
          <w:color w:val="000000"/>
          <w:sz w:val="24"/>
          <w:szCs w:val="24"/>
        </w:rPr>
        <w:br/>
        <w:t xml:space="preserve">kezdőéve. Magyarországot vizsgálva az alábbi regressziós egyenest kapjuk: -74,495 + 0,037 *</w:t>
      </w:r>
      <w:r>
        <w:rPr>
          <w:color w:val="000000"/>
          <w:sz w:val="24"/>
          <w:szCs w:val="24"/>
        </w:rPr>
        <w:br/>
        <w:t xml:space="preserve">szezon kezdőéve. A trend meredeksége szignifikáns (t=6,69; p&amp;lt;0.001). A többi vizsgált</w:t>
      </w:r>
      <w:r>
        <w:rPr>
          <w:color w:val="000000"/>
          <w:sz w:val="24"/>
          <w:szCs w:val="24"/>
        </w:rPr>
        <w:br/>
        <w:t xml:space="preserve">országot Magyarország viszonylatában elemezve azt látjuk, hogy Magyarország rendelkezik a</w:t>
      </w:r>
      <w:r>
        <w:rPr>
          <w:color w:val="000000"/>
          <w:sz w:val="24"/>
          <w:szCs w:val="24"/>
        </w:rPr>
        <w:br/>
        <w:t xml:space="preserve">legnagyobb meredekségű tendenciával. A vizsgált országok közül Románia és</w:t>
      </w:r>
      <w:r>
        <w:rPr>
          <w:color w:val="000000"/>
          <w:sz w:val="24"/>
          <w:szCs w:val="24"/>
        </w:rPr>
        <w:br/>
        <w:t xml:space="preserve">Szlovákia növekedési üteme nem tér el Magyarországétól, tehát ezekben az országokban és</w:t>
      </w:r>
      <w:r>
        <w:rPr>
          <w:color w:val="000000"/>
          <w:sz w:val="24"/>
          <w:szCs w:val="24"/>
        </w:rPr>
        <w:br/>
        <w:t xml:space="preserve">hazánkban a legnagyobb a külföldi játékosok játékperceinek a növekedése.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006682">
    <w:multiLevelType w:val="hybridMultilevel"/>
    <w:lvl w:ilvl="0" w:tplc="423317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006682">
    <w:abstractNumId w:val="950066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01526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