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bettics1100@gmail.com</w:t>
            </w:r>
            <w:r w:rsidRPr="002361E2">
              <w:rPr>
                <w:i/>
              </w:rPr>
              <w:br/>
            </w:r>
            <w:r w:rsidR="00A96AEC">
              <w:t>Humánkineziológia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Szekeres Diána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Gorcső alatt a doppingvétség elkövetésével összefüggő sportjogi és etikai kérdések szabályozása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Bevezetés:A tiltott teljesítményfokozás eseteinek vizsgálatát, szankcionálását a Nemzetközi Sportdöntőbíróság (CAS) biztosítja. A WADA és a MACS kontrollálja a sportban előforduló doppingolást.Doppingellenes szabályok aktualitása, hatálya mindenkor meghatározó doppingvétségek esetén. A WADA tiltólistáján szereplő teljesítményfokozó szerek, módszerek egészségkárosító impressziójának részletezése, meghatározó.A doppingolás kérdése sporttársadalmi kérdés is. Az Európa Tanács Európai Sport Charta és Sport Etikai Kódexe alapelveként jelöli, hogy a Fair play, a Charta 1. cikk 2. pontja alapján: „védeni és fejleszteni kell a sport erkölcsi és etikai alapjait, a sporttevékenységekben résztvevők emberi méltóságát és biztonságát, megvédve a sportot és a sportolókat …a doppingszerek használatától.”</w:t>
      </w:r>
      <w:r>
        <w:rPr>
          <w:color w:val="000000"/>
          <w:sz w:val="24"/>
          <w:szCs w:val="24"/>
        </w:rPr>
        <w:br/>
        <w:t xml:space="preserve">Hipotézis, cél: Kutatási célunk, megvizsgálni a sportban előforduló doppingolás kérdéskörének jogi szabályozását, a doppingellenes szervek feladatát, hatályos jogszabályokat nemzetközi és hazai szinten egymással összevetve.Magyar sportolók esettanulmányain keresztül tárjuk fel a doppingvétséget eredményező folyamatot, és a magatartás szankcionálását.</w:t>
      </w:r>
      <w:r>
        <w:rPr>
          <w:color w:val="000000"/>
          <w:sz w:val="24"/>
          <w:szCs w:val="24"/>
        </w:rPr>
        <w:br/>
        <w:t xml:space="preserve">H1: Feltételezzük, hogy etikai aggályokat vetnének fel, az esettanulmányokban bemutatott doppingvétségként azonosított esetek, amennyiben feltárnánk az akkor és jelenleg hatályos jogi szabályozás időbeli változását.</w:t>
      </w:r>
      <w:r>
        <w:rPr>
          <w:color w:val="000000"/>
          <w:sz w:val="24"/>
          <w:szCs w:val="24"/>
        </w:rPr>
        <w:br/>
        <w:t xml:space="preserve">H2: Feltételezzük, hogy doppingvétséget elkövető sportoló eltiltást követően sem fogja követni a fair-play elvének megfelelő versenyzést.</w:t>
      </w:r>
      <w:r>
        <w:rPr>
          <w:color w:val="000000"/>
          <w:sz w:val="24"/>
          <w:szCs w:val="24"/>
        </w:rPr>
        <w:br/>
        <w:t xml:space="preserve">H3: Feltételezzük, hogy az etikailag aggályos doppingvétséggel azonosított sportolóval szemben, az eltiltást követi a helyezések/érmek visszavétele is.</w:t>
      </w:r>
      <w:r>
        <w:rPr>
          <w:color w:val="000000"/>
          <w:sz w:val="24"/>
          <w:szCs w:val="24"/>
        </w:rPr>
        <w:br/>
        <w:t xml:space="preserve">H4: Feltételezzük, hogy a teljesítményfokozás módszereit tekintve, a legális fokozó szerek/módszerek jogi szabályozásának meghatározása az egészségre tekintettel az egészségügyi jogi terület által is meghatározott.</w:t>
      </w:r>
      <w:r>
        <w:rPr>
          <w:color w:val="000000"/>
          <w:sz w:val="24"/>
          <w:szCs w:val="24"/>
        </w:rPr>
        <w:br/>
        <w:t xml:space="preserve">Vizsgálati módszer:A választott vizsgálati módszer: szekunder: jogi szabályozás és szabályzatelemzésen,szakirodalom kutatáson alapul.</w:t>
      </w:r>
      <w:r>
        <w:rPr>
          <w:color w:val="000000"/>
          <w:sz w:val="24"/>
          <w:szCs w:val="24"/>
        </w:rPr>
        <w:br/>
        <w:t xml:space="preserve">Eredmény:A kutatás folyamatban van, a szekunder irodalomkutatás és a primer jogesetelemzés igazodik a mindenkor hatályos jogi szabályozáshoz, jelen állapotban ezért sem befejezett még a kutatás. Releváns következtetések levonásához még további, adatokra, dokumentumelemzésekre van szükség.</w:t>
      </w:r>
      <w:r>
        <w:rPr>
          <w:color w:val="000000"/>
          <w:sz w:val="24"/>
          <w:szCs w:val="24"/>
        </w:rPr>
        <w:br/>
        <w:t xml:space="preserve">Összefoglalás: A doppingolás kérdése, jogi szabályozása, szankcionálása, egészségkárosító hatásának integrálása, az ismerethorizont bővítésével lényeges lehet minden sportoló, sportszakember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08047">
    <w:multiLevelType w:val="hybridMultilevel"/>
    <w:lvl w:ilvl="0" w:tplc="75800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08047">
    <w:abstractNumId w:val="270080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984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