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timi.m0124@gmail.com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Veréb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Olajemulziók membránszeparációjára alkalmazott PVDF membránok felületének és anyagának módosítása TiO2-dal és TiO2/CNT kompozitokkal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 tartalmú szennyvizek jelentős környezet-, és egészségkárosító hatással bírnak, melyek hatékony kezelésére ígéretes megoldás lehet a membránszeparáció, amennyiben sikerül a membránok olajszennyezések okozta eltömődését jelentősen visszaszorítani.</w:t>
      </w:r>
      <w:r>
        <w:rPr>
          <w:color w:val="000000"/>
          <w:sz w:val="24"/>
          <w:szCs w:val="24"/>
        </w:rPr>
        <w:br/>
        <w:t xml:space="preserve">Kutatómunkám során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nanorészecskékkel-, illetve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/CNT</w:t>
      </w:r>
      <w:r>
        <w:rPr>
          <w:color w:val="000000"/>
          <w:position w:val="-4"/>
          <w:sz w:val="21"/>
          <w:szCs w:val="21"/>
          <w:vertAlign w:val="subscript"/>
        </w:rPr>
        <w:t xml:space="preserve">(2%)</w:t>
      </w:r>
      <w:r>
        <w:rPr>
          <w:color w:val="000000"/>
          <w:sz w:val="24"/>
          <w:szCs w:val="24"/>
        </w:rPr>
        <w:t xml:space="preserve"> nanokompozittal anyag-, és felületmódosított PVDF membránokat állítottam elő ezzel a céllal. Először meghatároztam az anyagmódosításhoz („blending”) szükséges alapanyagok optimális mennyiségét, majd az így előállított,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/CNT anyagmódosított membránokat alkalmaztam a „grafting” felületmódosítással kapcsolatos vizsgálataimhoz.</w:t>
      </w:r>
      <w:r>
        <w:rPr>
          <w:color w:val="000000"/>
          <w:sz w:val="24"/>
          <w:szCs w:val="24"/>
        </w:rPr>
        <w:br/>
        <w:t xml:space="preserve">Az anyagmódosítás során a membrán prekurzor anyagát elkészítettem négy különböző mennyiségű (84; 85,5; 87; 88,5 m/m%) NMP oldószerrel. Az eredményekből kiderült, hogy 84 m/m% NMP oldószert érdemes alkalmazni, ekkor elegendően nagy a prekurzor viszkozitása ahhoz, hogy a membránnak olyan kis méretű pórusai legyenek, amelyek biztosítják a kiemelkedő tisztítási hatékonyságot (99,3%). Nagyobb koncentrációk esetén a tisztítási hatékonyságok 82 és 78 %-ra csökkentek, és az NMP mennyiségének a növelésével a membrán mechanikai stabilitása is jelentősen csökkent.</w:t>
      </w:r>
      <w:r>
        <w:rPr>
          <w:color w:val="000000"/>
          <w:sz w:val="24"/>
          <w:szCs w:val="24"/>
        </w:rPr>
        <w:br/>
        <w:t xml:space="preserve">A grafting felületmódosításhoz alkalmazott szuszpenzió tekintetében vizsgáltam a megfelelő nanorészecske-, illetve akrilsav mennyiségeket.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-ot 0,1; 0,2; 1 és 2 m/m%-okban alkalmaztam, az akrilsavat pedig 10, 20 és 30 m/m%-ban. A kísérletsorozatban az 1 m/m%-ban alkalmazott nanorészecskékkel és a 20 m/m% akrilsavval értem el a legjobb eredményeket: ekkor tömődött el legkevésbé a membrán, illetve ebben az esetben lett a legnagyobb a fluxus visszanyerési arány is.</w:t>
      </w:r>
      <w:r>
        <w:rPr>
          <w:color w:val="000000"/>
          <w:sz w:val="24"/>
          <w:szCs w:val="24"/>
        </w:rPr>
        <w:br/>
        <w:t xml:space="preserve">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nanorészecskékkel végzett anyag- és felületmódosítás során kaptam a legígéretesebb eredményeket. Annak ellenére, hogy kicsit kisebb fluxust biztosított az emulzió szűrése során, mint a csak anyagában-, illetve csak felületén módosított membránok, a kétféle módosítás együtt sokkal hidrofilebb felületet eredményezett (15,4°-os kontaktszög), ennek következtében pedig a fluxusvisszanyerési arány is jelentősen kiemelkedő volt (70%). A módosítatlan PVDF membránhoz képest a kontaktszög hatodára csökkent, a fluxus visszanyerési arány pedig 50-szer nagyobb lett. Továbbá sikerült igazolnom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nanorészecskék fotokatalitikus aktivitását is, ugyanis a membránszűrést követően UV-A-, illetve látható fény besugárzásával visszanyertem a kezdeti vízfluxust, és a felület tisztulása szemmel is látható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22564">
    <w:multiLevelType w:val="hybridMultilevel"/>
    <w:lvl w:ilvl="0" w:tplc="57426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22564">
    <w:abstractNumId w:val="648225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290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