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KERLE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kerlebalazs@gmail.com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Berényi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Visegrádi Csoport országainak együttműködése a felmerülő földgáz-ellátási problémákra.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Európa országaiban az energiapolitika az ezredforduló utáni első évtizedekben az egyik legfontosabb szakmai, politikai, illetve társadalmi kérdéssé vált.</w:t>
      </w:r>
      <w:r>
        <w:rPr>
          <w:color w:val="000000"/>
          <w:sz w:val="24"/>
          <w:szCs w:val="24"/>
        </w:rPr>
        <w:br/>
        <w:t xml:space="preserve">A globális gazdaság energiafelhasználása a XXI. század elejétől napjainkig fokozatosan növekedett és várhatóan ez a tendencia a továbbiakban is folytatódni fog. Az Európai Unió államai, különösen a közép-európai térség országai, egyre nagyobb mértékben függenek az energiahordozók importjától. Az importált energiahordozók mennyisége a közeljövőben várhatóan tovább fog növekedni.</w:t>
      </w:r>
      <w:r>
        <w:rPr>
          <w:color w:val="000000"/>
          <w:sz w:val="24"/>
          <w:szCs w:val="24"/>
        </w:rPr>
        <w:br/>
        <w:t xml:space="preserve">Dolgozatom első fejezetében az Európai Unió energia- és földgázellátását fogom áttekinteni, majd ezután a második fejezetben megvizsgálom az energetikával kapcsolatos alapfogalmakat, kérdéseket. Ezt követően a harmadik fejezetben a visegrádi országok szövetségének létrejöttét, a szövetség létrejöttének körülményeit, és a V4-csoport energiamixét mutatom be. Továbbá a „Visegrádi Négyek” néven ismert országok földgázfelhasználására építő energiapolitikáját, az ezzel kapcsolatos együttműködéseiket, s az ezt megnehezítő folyamatokat fogom megvizsgálni. Többek között a következő kérdésekre keresem a választ: Miféle és milyen döntéseket hoztak a “Visegrádi Négyek” csoportjába tartozó országok, a földgáz beszerzésével és felhasználásával kapcsolatban, és ezek mennyiben járultak hozzá ahhoz, hogy a földgázellátással kapcsolatban jelentős nehézségeik támadtak a 2010 utáni időszakban? Hogyan és milyen intézkedésekkel próbálják a „Visegrádi Négyek” csoportjába tartozó országok megoldani az ebből fakadó problémákat, hogyan próbálják átvészelni ezt a kritikus időszakot? Vajon eljuthatnak-e az EU tagállamai és az EU-n belül a „Visegrádi Négyek” oda, hogy függetlenedjenek az energiaimporttól. Az értekezésem összegző részében fogom felvázolni a dolgozatommal kapcsolatos következtetéseimet.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95109">
    <w:multiLevelType w:val="hybridMultilevel"/>
    <w:lvl w:ilvl="0" w:tplc="86601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95109">
    <w:abstractNumId w:val="381951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760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