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SZILÁGYI REGINA</w:t>
            </w:r>
          </w:p>
          <w:p w:rsidR="00C275A3" w:rsidRDefault="00186641" w:rsidP="00C275A3">
            <w:pPr>
              <w:pStyle w:val="Hallgatokepzes"/>
            </w:pPr>
            <w:r w:rsidRPr="002361E2">
              <w:rPr>
                <w:i/>
              </w:rPr>
              <w:t>szilregi14@gmail.com</w:t>
            </w:r>
            <w:r w:rsidRPr="002361E2">
              <w:rPr>
                <w:i/>
              </w:rPr>
              <w:br/>
            </w:r>
            <w:r w:rsidR="00A96AEC">
              <w:t>Politikatudományok</w:t>
            </w:r>
            <w:r w:rsidR="00A96AEC">
              <w:br/>
            </w:r>
            <w:r w:rsidR="00E77B23">
              <w:t>BA, 6.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Berényi Zoltán</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uniós bővítéspolitika új fejleményei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azt a hipotézist vizsgálom meg, hogy az Európai Unió a tagsággal kapcsolatos kritériumok elbírálásakor elsőbbséget hajlamos-e adni a biztonságpolitikai szempontoknak. Más szóval, igazolható-e az a feltevés, hogy a tagság kritériumait azonos mértékben teljesítő két állam közül elsősorban az kap tagjelölti (majd későbbiekben tagsági) minősítést, amelyik tag felvétele az EU biztonságpolitikai érdekét szolgálja. Feltételezésem igazolhatóságának vizsgálata érdekében dolgozatomban először áttekintem a csatlakozni kívánó államok által teljesítendő koppenhágai kritériumokat. Ezt követően megvizsgálom Ukrajna és az Európai Unió társult tagsági viszonyát, illetve azt, hogy a 2014-ben lezajlott krími válságot megelőzően milyen mértékben felelt volna meg az ország a tagság politikai, gazdasági, jogi kritériumainak. Ezután a 2008-ban lezajlott orosz-grúz háborút megelőző időszak előtt Grúzia helyzetét tekintem át azzal kapcsolatban, hogy a kritériumok tekintetében milyen állapotok jellemezték ekkor az országot. Ezt követően a 2014-ben lezajlott „Euromajdan” történését és okait vizsgálom meg, majd pedig az Ukrajna tagságának kérdésében történt fejleményeket, az ország állapotában történő változásokat a 2014 utáni és 2022. februárja előtti időszakban. Végül ehhez kapcsolódva áttekintem, hogy Grúzia a 2008-at követő időszakban mennyiben felelt meg a tagsággal kapcsolatban felállított követelményeknek. Ezeket követően - különös figyelmet fordítva a két állam Oroszországgal történő konfrontációja előtti és utáni jogi, gazdasági és politikai állapotának összehasonlítására – összegzem a tagsági követelmények teljesítésére vonatkozó megállapításokat, és részletekbe menően összehasonlítom a két ország korábbi és jelenlegi állapotát. Kutatásom arra enged következtetni, hogy az Európai Unió ténylegesen nem csak a jelentkező államok jogi, politikai és gazdasági fejlettsége alapján ítéli oda a tagjelölti státuszt az országoknak. Erre a bizonyíték Ukrajna és Grúzia esete, ahol részletesen bemutatom, hogy a koppenhágai kritériumok teljesítése tekintetében Ukrajnának is hasonló mértékű elmaradásai vannak, mint Grúziának.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70607">
    <w:multiLevelType w:val="hybridMultilevel"/>
    <w:lvl w:ilvl="0" w:tplc="13232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70607">
    <w:abstractNumId w:val="197706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278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