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BARBARA NAGY</w:t>
            </w:r>
          </w:p>
          <w:p w:rsidR="00C275A3" w:rsidRDefault="00186641" w:rsidP="00C275A3">
            <w:pPr>
              <w:pStyle w:val="Hallgatokepzes"/>
            </w:pPr>
            <w:r w:rsidRPr="002361E2">
              <w:rPr>
                <w:i/>
              </w:rPr>
              <w:t>barbi.nagy.998@gmail.com</w:t>
            </w:r>
            <w:r w:rsidRPr="002361E2">
              <w:rPr>
                <w:i/>
              </w:rPr>
              <w:br/>
            </w:r>
            <w:r w:rsidR="00A96AEC">
              <w:t>Marketing</w:t>
            </w:r>
            <w:r w:rsidR="00A96AEC">
              <w:br/>
            </w:r>
            <w:r w:rsidR="00E77B23">
              <w:t>MSc, 2. semester</w:t>
            </w:r>
          </w:p>
          <w:p w:rsidR="00C265CE" w:rsidRPr="009E5FF1" w:rsidRDefault="00E77B23" w:rsidP="009763E0">
            <w:pPr>
              <w:pStyle w:val="Hallgatointezmeny-kar"/>
              <w:rPr>
                <w:b/>
                <w:caps/>
              </w:rPr>
            </w:pPr>
            <w:r>
              <w:t>University of Szeged</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Miklós Lukovics PhD</w:t>
            </w:r>
          </w:p>
          <w:p w:rsidR="00DB4822" w:rsidRDefault="00DB4822" w:rsidP="009763E0">
            <w:pPr>
              <w:pStyle w:val="Konzulensektitulus"/>
            </w:pPr>
            <w:r w:rsidRPr="00DB4822">
              <w:t>Associate Professor, SZTE GTK</w:t>
            </w:r>
          </w:p>
        </w:tc>
      </w:tr>
      <w:tr w:rsidR="00DB4822" w:rsidTr="00DB4822">
        <w:tc>
          <w:tcPr>
            <w:tcW w:w="9854" w:type="dxa"/>
          </w:tcPr>
          <w:p w:rsidR="00DB4822" w:rsidRPr="00DB4822" w:rsidRDefault="00DB4822" w:rsidP="009763E0">
            <w:pPr>
              <w:pStyle w:val="Konzulenseknev"/>
            </w:pPr>
            <w:r w:rsidRPr="00DB4822">
              <w:t>Szabolcs Prónay PhD</w:t>
            </w:r>
          </w:p>
          <w:p w:rsidR="00DB4822" w:rsidRDefault="00DB4822" w:rsidP="009763E0">
            <w:pPr>
              <w:pStyle w:val="Konzulensektitulus"/>
            </w:pPr>
            <w:r w:rsidRPr="00DB4822">
              <w:t>Associate Professor,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FOCUSING ON TRUST: EXAMINING CONSUMER SEGMENTS OF SELF-DRIVING VEHICLES DURING A VIRTUAL JOURNEY – WHAT DOES EYE MOVEMENT SHOW?</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thesis, I focus on trust as one of the most important factors influencing consumer acceptance of self-driving vehicles. Looking at the international literature, it can be seen that in most cases, researchers use the traditional survey method to understand people's level of trust, on the one hand, and view society as a large homogeneous group, on the other. Therefore, we have limited information on how trust is reflected in people's unconscious reactions and whether some differences in trust levels can be identified between different groups.</w:t>
      </w:r>
      <w:r>
        <w:rPr>
          <w:color w:val="000000"/>
          <w:sz w:val="24"/>
          <w:szCs w:val="24"/>
        </w:rPr>
        <w:br/>
        <w:t xml:space="preserve">The main objective of my research is to investigate, using neuroscience, trust as a key determinant of technology adoption in relation to self-driving vehicles for different consumer groups.</w:t>
      </w:r>
      <w:r>
        <w:rPr>
          <w:color w:val="000000"/>
          <w:sz w:val="24"/>
          <w:szCs w:val="24"/>
        </w:rPr>
        <w:br/>
        <w:t xml:space="preserve">I will focus on five consumer segments, using different methodologies (online questionnaire, focus group interviews, eye-tracking study, individual interviews) to gain a deeper insight into their characteristics and trust levels by examining their conscious and unconscious reactions. I will try to capture the level of trust based on the unconscious reactions of the 80 people involved in the study using an eye-tracking methodology, which provided me with valuable information about the level of trust of the members of each group. To this end, I will examine the number of fixations, their duration, the direction of gaze and the degree of pupil dilation.</w:t>
      </w:r>
      <w:r>
        <w:rPr>
          <w:color w:val="000000"/>
          <w:sz w:val="24"/>
          <w:szCs w:val="24"/>
        </w:rPr>
        <w:br/>
        <w:t xml:space="preserve">The research was able to validate the level of confidence for one group using the eye tracking methodology, but it can be argued that for the other groups the level of confidence assumed from self-reporting is not necessarily reflected in the eye tracking results. Overall, it can be said that all groups uniformly focused more on the external environment as opposed to the internal one, so based on the results of the literature review, we can assume that a presence of distrust is observed in all groups. In addition, it was also found that devices that provide information in the interior space during the journey (e.g. tablet with an itinerary) are explicitly highly valued by passengers and can play a key role in improving both the travel experience and thus increasing trust.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029669">
    <w:multiLevelType w:val="hybridMultilevel"/>
    <w:lvl w:ilvl="0" w:tplc="259486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029669">
    <w:abstractNumId w:val="940296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17897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