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PHAN THANH ANH QUOC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quocphan2512@gmail.com</w:t>
            </w:r>
            <w:r w:rsidRPr="002361E2">
              <w:rPr>
                <w:i/>
              </w:rPr>
              <w:br/>
            </w:r>
            <w:r w:rsidR="00A96AEC">
              <w:t>Nemzetközi üzletfejlesztés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Tölgyessy Péterné Dr. Sass Magdolna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VIETNAMI RÉSZVÉTEL A GLOBÁLIS ÉRTÉKLÁNCBAN, SZÖVEG- ÉS RUHAIPARRA SPECIALÁCIÓVAL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PHAN THANH ANH QUOC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BGE KKK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</w:t>
      </w:r>
      <w:r>
        <w:rPr>
          <w:color w:val="000000"/>
          <w:sz w:val="24"/>
          <w:szCs w:val="24"/>
        </w:rPr>
        <w:br/>
        <w:t xml:space="preserve">Dr.Tolgyessy Péterné Sass Magdolna Ildikó</w:t>
      </w:r>
      <w:r>
        <w:rPr>
          <w:color w:val="000000"/>
          <w:sz w:val="24"/>
          <w:szCs w:val="24"/>
        </w:rPr>
        <w:br/>
        <w:t xml:space="preserve">egyetemi docens</w:t>
      </w:r>
      <w:r>
        <w:rPr>
          <w:color w:val="000000"/>
          <w:sz w:val="24"/>
          <w:szCs w:val="24"/>
        </w:rPr>
        <w:br/>
        <w:t xml:space="preserve">BGE KKK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VIETNAMI RÉSZVÉTEL A GLOBÁLIS ÉRTÉKLÁNCBAN, SZÖVEG- ÉS RUHAIPARRA SPECIALÁCIÓVAL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Vietnam gyors integrálódása a globális termelési hálózatokba, más néven globális értékláncokba, Vietnam kereskedelmi és befektetési nyitottsági politikájának következményeként, számos társadalmi-gazdasági sikert eredményezett, amelyek nyilvánvalóak. Vietnam részvétele a globális értékláncokban jelentősen megnőtt az elmúlt két évtizedben az FDI-export növekedése miatt. A textilipar azon iparágak közé tartozik, amelyek jelentősen hozzájárulnak a gazdasági növekedéshez, az exportösztönzéshez és a munkanélküliségi probléma hatékony megoldásához. Valamivel több mint egy évtized alatt Vietnam a világ negyedik legnagyobb ruházati exportőre lett, főbb piacaival, köztük az Egyesült Államokkal, Kínával, az EU-val és Dél-Koreával. Ez a tanulmány a globális textil-értéklánc természetére reflektál, és arra, hogyan vált Vietnam az elemző adatokkal a lánc fontos láncszemévé. Ezenkívül azonosítja azokat a kihívásokat, amelyekkel a vietnami textilipari vállalatok szembesülnek, és azokat a megoldásokat, amelyek célja Vietnam pozíciójának erősítése a globális textilláncban.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86243">
    <w:multiLevelType w:val="hybridMultilevel"/>
    <w:lvl w:ilvl="0" w:tplc="96928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86243">
    <w:abstractNumId w:val="17786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813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